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056A6C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D0A7E">
                              <w:rPr>
                                <w:rFonts w:ascii="Verdana" w:hAnsi="Verdana"/>
                                <w:b/>
                                <w:sz w:val="22"/>
                                <w:szCs w:val="22"/>
                              </w:rPr>
                              <w:t>24-G-012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056A6C2"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1D0A7E">
                        <w:rPr>
                          <w:rFonts w:ascii="Verdana" w:hAnsi="Verdana"/>
                          <w:b/>
                          <w:sz w:val="22"/>
                          <w:szCs w:val="22"/>
                        </w:rPr>
                        <w:t>24-G-012</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41A74A29" w14:textId="00D360B6" w:rsidR="001D0A7E" w:rsidRDefault="001D0A7E" w:rsidP="001D0A7E">
      <w:pPr>
        <w:spacing w:line="254" w:lineRule="auto"/>
        <w:rPr>
          <w:rFonts w:ascii="Verdana" w:hAnsi="Verdana"/>
          <w:b/>
          <w:bCs/>
          <w:sz w:val="22"/>
          <w:szCs w:val="22"/>
        </w:rPr>
      </w:pPr>
      <w:r w:rsidRPr="001D0A7E">
        <w:rPr>
          <w:rFonts w:ascii="Verdana" w:hAnsi="Verdana"/>
          <w:b/>
          <w:bCs/>
          <w:sz w:val="22"/>
          <w:szCs w:val="22"/>
        </w:rPr>
        <w:t>Q1. In the last 6 months</w:t>
      </w:r>
      <w:r>
        <w:rPr>
          <w:rFonts w:ascii="Verdana" w:hAnsi="Verdana"/>
          <w:b/>
          <w:bCs/>
          <w:sz w:val="22"/>
          <w:szCs w:val="22"/>
        </w:rPr>
        <w:t xml:space="preserve"> (October to March due to coding completeness)</w:t>
      </w:r>
      <w:r w:rsidRPr="001D0A7E">
        <w:rPr>
          <w:rFonts w:ascii="Verdana" w:hAnsi="Verdana"/>
          <w:b/>
          <w:bCs/>
          <w:sz w:val="22"/>
          <w:szCs w:val="22"/>
        </w:rPr>
        <w:t xml:space="preserve"> how many patients have been diagnosed with Diffuse Large B Cell Lymphoma (DLBCL)?</w:t>
      </w:r>
    </w:p>
    <w:p w14:paraId="3419215E" w14:textId="77777777" w:rsidR="005E0FEB" w:rsidRDefault="001D0A7E" w:rsidP="001D0A7E">
      <w:pPr>
        <w:spacing w:line="254" w:lineRule="auto"/>
        <w:rPr>
          <w:rFonts w:ascii="Verdana" w:hAnsi="Verdana"/>
          <w:sz w:val="22"/>
          <w:szCs w:val="22"/>
        </w:rPr>
      </w:pPr>
      <w:r>
        <w:rPr>
          <w:rFonts w:ascii="Verdana" w:hAnsi="Verdana"/>
          <w:sz w:val="22"/>
          <w:szCs w:val="22"/>
        </w:rPr>
        <w:t>49</w:t>
      </w:r>
    </w:p>
    <w:p w14:paraId="064EA576" w14:textId="4321D995" w:rsidR="001D0A7E" w:rsidRPr="001D0A7E" w:rsidRDefault="001D0A7E" w:rsidP="001D0A7E">
      <w:pPr>
        <w:spacing w:line="254" w:lineRule="auto"/>
        <w:rPr>
          <w:rFonts w:ascii="Verdana" w:hAnsi="Verdana"/>
          <w:sz w:val="22"/>
          <w:szCs w:val="22"/>
        </w:rPr>
      </w:pPr>
      <w:r>
        <w:rPr>
          <w:rFonts w:ascii="Verdana" w:hAnsi="Verdana"/>
          <w:sz w:val="22"/>
          <w:szCs w:val="22"/>
        </w:rPr>
        <w:t xml:space="preserve">Please note that we have provided the number of patients admitted during the last 6 months who had a diagnosis of DLBCL however this may not mean they were diagnosed for the first time during this period. </w:t>
      </w:r>
    </w:p>
    <w:p w14:paraId="04B8F540" w14:textId="230360D4" w:rsidR="001D0A7E" w:rsidRDefault="001D0A7E" w:rsidP="001D0A7E">
      <w:pPr>
        <w:spacing w:line="254" w:lineRule="auto"/>
        <w:rPr>
          <w:rFonts w:ascii="Verdana" w:hAnsi="Verdana"/>
          <w:b/>
          <w:bCs/>
          <w:sz w:val="22"/>
          <w:szCs w:val="22"/>
        </w:rPr>
      </w:pPr>
      <w:r w:rsidRPr="001D0A7E">
        <w:rPr>
          <w:rFonts w:ascii="Verdana" w:hAnsi="Verdana"/>
          <w:b/>
          <w:bCs/>
          <w:sz w:val="22"/>
          <w:szCs w:val="22"/>
        </w:rPr>
        <w:t xml:space="preserve"> Q1a. Of these patients, how many commenced </w:t>
      </w:r>
      <w:proofErr w:type="gramStart"/>
      <w:r w:rsidRPr="001D0A7E">
        <w:rPr>
          <w:rFonts w:ascii="Verdana" w:hAnsi="Verdana"/>
          <w:b/>
          <w:bCs/>
          <w:sz w:val="22"/>
          <w:szCs w:val="22"/>
        </w:rPr>
        <w:t>treatment</w:t>
      </w:r>
      <w:proofErr w:type="gramEnd"/>
      <w:r w:rsidRPr="001D0A7E">
        <w:rPr>
          <w:rFonts w:ascii="Verdana" w:hAnsi="Verdana"/>
          <w:b/>
          <w:bCs/>
          <w:sz w:val="22"/>
          <w:szCs w:val="22"/>
        </w:rPr>
        <w:t xml:space="preserve"> at your trust within the last 6 months?</w:t>
      </w:r>
    </w:p>
    <w:p w14:paraId="014E6007" w14:textId="77777777" w:rsidR="005E0FEB" w:rsidRDefault="001D0A7E" w:rsidP="001D0A7E">
      <w:pPr>
        <w:spacing w:line="254" w:lineRule="auto"/>
        <w:rPr>
          <w:rFonts w:ascii="Verdana" w:hAnsi="Verdana"/>
          <w:sz w:val="22"/>
          <w:szCs w:val="22"/>
        </w:rPr>
      </w:pPr>
      <w:r>
        <w:rPr>
          <w:rFonts w:ascii="Verdana" w:hAnsi="Verdana"/>
          <w:sz w:val="22"/>
          <w:szCs w:val="22"/>
        </w:rPr>
        <w:t>36</w:t>
      </w:r>
    </w:p>
    <w:p w14:paraId="0DC800D3" w14:textId="36C6AFAE" w:rsidR="001D0A7E" w:rsidRDefault="001D0A7E" w:rsidP="001D0A7E">
      <w:pPr>
        <w:spacing w:line="254" w:lineRule="auto"/>
        <w:rPr>
          <w:rFonts w:ascii="Verdana" w:hAnsi="Verdana"/>
          <w:b/>
          <w:bCs/>
          <w:sz w:val="22"/>
          <w:szCs w:val="22"/>
        </w:rPr>
      </w:pPr>
      <w:r>
        <w:rPr>
          <w:rFonts w:ascii="Verdana" w:hAnsi="Verdana"/>
          <w:sz w:val="22"/>
          <w:szCs w:val="22"/>
        </w:rPr>
        <w:t xml:space="preserve">Please note we have provided the number of patients undergoing treatment in the last 6 months. We cannot identify whether the patient commenced treatment during this </w:t>
      </w:r>
      <w:proofErr w:type="gramStart"/>
      <w:r>
        <w:rPr>
          <w:rFonts w:ascii="Verdana" w:hAnsi="Verdana"/>
          <w:sz w:val="22"/>
          <w:szCs w:val="22"/>
        </w:rPr>
        <w:t>time period</w:t>
      </w:r>
      <w:proofErr w:type="gramEnd"/>
      <w:r>
        <w:rPr>
          <w:rFonts w:ascii="Verdana" w:hAnsi="Verdana"/>
          <w:sz w:val="22"/>
          <w:szCs w:val="22"/>
        </w:rPr>
        <w:t xml:space="preserve"> or if they have received treatment prior to this.  </w:t>
      </w:r>
      <w:r w:rsidRPr="001D0A7E">
        <w:rPr>
          <w:rFonts w:ascii="Verdana" w:hAnsi="Verdana"/>
          <w:b/>
          <w:bCs/>
          <w:sz w:val="22"/>
          <w:szCs w:val="22"/>
        </w:rPr>
        <w:t>  </w:t>
      </w:r>
    </w:p>
    <w:p w14:paraId="50341AC6" w14:textId="4952CEFE" w:rsidR="001D0A7E" w:rsidRPr="001D0A7E" w:rsidRDefault="001D0A7E" w:rsidP="001D0A7E">
      <w:pPr>
        <w:spacing w:line="254" w:lineRule="auto"/>
        <w:rPr>
          <w:rFonts w:ascii="Verdana" w:hAnsi="Verdana"/>
          <w:b/>
          <w:bCs/>
          <w:sz w:val="22"/>
          <w:szCs w:val="22"/>
        </w:rPr>
      </w:pPr>
      <w:r w:rsidRPr="001D0A7E">
        <w:rPr>
          <w:rFonts w:ascii="Verdana" w:hAnsi="Verdana"/>
          <w:b/>
          <w:bCs/>
          <w:sz w:val="22"/>
          <w:szCs w:val="22"/>
        </w:rPr>
        <w:t>Q2. In the last 6 months</w:t>
      </w:r>
      <w:r>
        <w:rPr>
          <w:rFonts w:ascii="Verdana" w:hAnsi="Verdana"/>
          <w:b/>
          <w:bCs/>
          <w:sz w:val="22"/>
          <w:szCs w:val="22"/>
        </w:rPr>
        <w:t xml:space="preserve"> (</w:t>
      </w:r>
      <w:r w:rsidR="00E077B0">
        <w:rPr>
          <w:rFonts w:ascii="Verdana" w:hAnsi="Verdana"/>
          <w:b/>
          <w:bCs/>
          <w:sz w:val="22"/>
          <w:szCs w:val="22"/>
        </w:rPr>
        <w:t>October to March 2024</w:t>
      </w:r>
      <w:r>
        <w:rPr>
          <w:rFonts w:ascii="Verdana" w:hAnsi="Verdana"/>
          <w:b/>
          <w:bCs/>
          <w:sz w:val="22"/>
          <w:szCs w:val="22"/>
        </w:rPr>
        <w:t>)</w:t>
      </w:r>
      <w:r w:rsidRPr="001D0A7E">
        <w:rPr>
          <w:rFonts w:ascii="Verdana" w:hAnsi="Verdana"/>
          <w:b/>
          <w:bCs/>
          <w:sz w:val="22"/>
          <w:szCs w:val="22"/>
        </w:rPr>
        <w:t xml:space="preserve">, how many patients have you treated for Diffuse Large B Cell Lymphoma (DLBCL) with the following treatments: </w:t>
      </w:r>
    </w:p>
    <w:p w14:paraId="79F3FDC2" w14:textId="14965882" w:rsidR="001D0A7E" w:rsidRDefault="001D0A7E" w:rsidP="001D0A7E">
      <w:pPr>
        <w:spacing w:line="254" w:lineRule="auto"/>
        <w:rPr>
          <w:rFonts w:ascii="Verdana" w:hAnsi="Verdana"/>
          <w:b/>
          <w:bCs/>
          <w:sz w:val="22"/>
          <w:szCs w:val="22"/>
        </w:rPr>
      </w:pPr>
      <w:r w:rsidRPr="001D0A7E">
        <w:rPr>
          <w:rFonts w:ascii="Verdana" w:hAnsi="Verdana"/>
          <w:b/>
          <w:bCs/>
          <w:sz w:val="22"/>
          <w:szCs w:val="22"/>
        </w:rPr>
        <w:t>R-CHOP (rituximab, cyclophosphamide, doxorubicin hydrochloride, vincristine and prednisolone)</w:t>
      </w:r>
    </w:p>
    <w:p w14:paraId="66CE3B4E" w14:textId="70B35BE7" w:rsidR="001D0A7E" w:rsidRPr="001D0A7E" w:rsidRDefault="00E077B0" w:rsidP="001D0A7E">
      <w:pPr>
        <w:spacing w:line="254" w:lineRule="auto"/>
        <w:rPr>
          <w:rFonts w:ascii="Verdana" w:hAnsi="Verdana"/>
          <w:sz w:val="22"/>
          <w:szCs w:val="22"/>
        </w:rPr>
      </w:pPr>
      <w:r>
        <w:rPr>
          <w:rFonts w:ascii="Verdana" w:hAnsi="Verdana"/>
          <w:sz w:val="22"/>
          <w:szCs w:val="22"/>
        </w:rPr>
        <w:t>9</w:t>
      </w:r>
    </w:p>
    <w:p w14:paraId="205B07E5" w14:textId="47C6C4E0" w:rsidR="001D0A7E" w:rsidRDefault="001D0A7E" w:rsidP="001D0A7E">
      <w:pPr>
        <w:spacing w:line="254" w:lineRule="auto"/>
        <w:rPr>
          <w:rFonts w:ascii="Verdana" w:hAnsi="Verdana"/>
          <w:b/>
          <w:bCs/>
          <w:sz w:val="22"/>
          <w:szCs w:val="22"/>
        </w:rPr>
      </w:pPr>
      <w:r w:rsidRPr="001D0A7E">
        <w:rPr>
          <w:rFonts w:ascii="Verdana" w:hAnsi="Verdana"/>
          <w:b/>
          <w:bCs/>
          <w:sz w:val="22"/>
          <w:szCs w:val="22"/>
        </w:rPr>
        <w:t>R-mini-CHOP (rituximab, cyclophosphamide, doxorubicin hydrochloride, vincristine and prednisolone)</w:t>
      </w:r>
    </w:p>
    <w:p w14:paraId="2F7BAE20" w14:textId="695049B7" w:rsidR="001D0A7E" w:rsidRPr="001D0A7E" w:rsidRDefault="001D0A7E" w:rsidP="001D0A7E">
      <w:pPr>
        <w:spacing w:line="254" w:lineRule="auto"/>
        <w:rPr>
          <w:rFonts w:ascii="Verdana" w:hAnsi="Verdana"/>
          <w:sz w:val="22"/>
          <w:szCs w:val="22"/>
        </w:rPr>
      </w:pPr>
      <w:r>
        <w:rPr>
          <w:rFonts w:ascii="Verdana" w:hAnsi="Verdana"/>
          <w:sz w:val="22"/>
          <w:szCs w:val="22"/>
        </w:rPr>
        <w:t>&lt;5</w:t>
      </w:r>
      <w:r w:rsidR="007F3298">
        <w:rPr>
          <w:rFonts w:ascii="Verdana" w:hAnsi="Verdana"/>
          <w:sz w:val="22"/>
          <w:szCs w:val="22"/>
        </w:rPr>
        <w:t>*</w:t>
      </w:r>
    </w:p>
    <w:p w14:paraId="5F4A9EF3" w14:textId="119DA12E" w:rsidR="001D0A7E" w:rsidRDefault="001D0A7E" w:rsidP="001D0A7E">
      <w:pPr>
        <w:spacing w:line="254" w:lineRule="auto"/>
        <w:rPr>
          <w:rFonts w:ascii="Verdana" w:hAnsi="Verdana"/>
          <w:b/>
          <w:bCs/>
          <w:sz w:val="22"/>
          <w:szCs w:val="22"/>
        </w:rPr>
      </w:pPr>
      <w:r w:rsidRPr="001D0A7E">
        <w:rPr>
          <w:rFonts w:ascii="Verdana" w:hAnsi="Verdana"/>
          <w:b/>
          <w:bCs/>
          <w:sz w:val="22"/>
          <w:szCs w:val="22"/>
        </w:rPr>
        <w:t>Pola-BR (</w:t>
      </w:r>
      <w:proofErr w:type="spellStart"/>
      <w:r w:rsidRPr="001D0A7E">
        <w:rPr>
          <w:rFonts w:ascii="Verdana" w:hAnsi="Verdana"/>
          <w:b/>
          <w:bCs/>
          <w:sz w:val="22"/>
          <w:szCs w:val="22"/>
        </w:rPr>
        <w:t>polatuzumab</w:t>
      </w:r>
      <w:proofErr w:type="spellEnd"/>
      <w:r w:rsidRPr="001D0A7E">
        <w:rPr>
          <w:rFonts w:ascii="Verdana" w:hAnsi="Verdana"/>
          <w:b/>
          <w:bCs/>
          <w:sz w:val="22"/>
          <w:szCs w:val="22"/>
        </w:rPr>
        <w:t xml:space="preserve"> </w:t>
      </w:r>
      <w:proofErr w:type="spellStart"/>
      <w:r w:rsidRPr="001D0A7E">
        <w:rPr>
          <w:rFonts w:ascii="Verdana" w:hAnsi="Verdana"/>
          <w:b/>
          <w:bCs/>
          <w:sz w:val="22"/>
          <w:szCs w:val="22"/>
        </w:rPr>
        <w:t>vedotin</w:t>
      </w:r>
      <w:proofErr w:type="spellEnd"/>
      <w:r w:rsidRPr="001D0A7E">
        <w:rPr>
          <w:rFonts w:ascii="Verdana" w:hAnsi="Verdana"/>
          <w:b/>
          <w:bCs/>
          <w:sz w:val="22"/>
          <w:szCs w:val="22"/>
        </w:rPr>
        <w:t xml:space="preserve"> with rituximab and </w:t>
      </w:r>
      <w:proofErr w:type="spellStart"/>
      <w:r w:rsidRPr="001D0A7E">
        <w:rPr>
          <w:rFonts w:ascii="Verdana" w:hAnsi="Verdana"/>
          <w:b/>
          <w:bCs/>
          <w:sz w:val="22"/>
          <w:szCs w:val="22"/>
        </w:rPr>
        <w:t>bendamustine</w:t>
      </w:r>
      <w:proofErr w:type="spellEnd"/>
      <w:r w:rsidRPr="001D0A7E">
        <w:rPr>
          <w:rFonts w:ascii="Verdana" w:hAnsi="Verdana"/>
          <w:b/>
          <w:bCs/>
          <w:sz w:val="22"/>
          <w:szCs w:val="22"/>
        </w:rPr>
        <w:t xml:space="preserve">) </w:t>
      </w:r>
    </w:p>
    <w:p w14:paraId="673D0D64" w14:textId="4828D968" w:rsidR="001D0A7E" w:rsidRPr="001D0A7E" w:rsidRDefault="001D0A7E" w:rsidP="001D0A7E">
      <w:pPr>
        <w:spacing w:line="254" w:lineRule="auto"/>
        <w:rPr>
          <w:rFonts w:ascii="Verdana" w:hAnsi="Verdana"/>
          <w:sz w:val="22"/>
          <w:szCs w:val="22"/>
        </w:rPr>
      </w:pPr>
      <w:r>
        <w:rPr>
          <w:rFonts w:ascii="Verdana" w:hAnsi="Verdana"/>
          <w:sz w:val="22"/>
          <w:szCs w:val="22"/>
        </w:rPr>
        <w:t>&lt;5</w:t>
      </w:r>
      <w:r w:rsidR="007F3298">
        <w:rPr>
          <w:rFonts w:ascii="Verdana" w:hAnsi="Verdana"/>
          <w:sz w:val="22"/>
          <w:szCs w:val="22"/>
        </w:rPr>
        <w:t>*</w:t>
      </w:r>
    </w:p>
    <w:p w14:paraId="4CC0CA69" w14:textId="727B9072" w:rsidR="001D0A7E" w:rsidRDefault="001D0A7E" w:rsidP="001D0A7E">
      <w:pPr>
        <w:spacing w:line="254" w:lineRule="auto"/>
        <w:rPr>
          <w:rFonts w:ascii="Verdana" w:hAnsi="Verdana"/>
          <w:b/>
          <w:bCs/>
          <w:sz w:val="22"/>
          <w:szCs w:val="22"/>
        </w:rPr>
      </w:pPr>
      <w:r w:rsidRPr="001D0A7E">
        <w:rPr>
          <w:rFonts w:ascii="Verdana" w:hAnsi="Verdana"/>
          <w:b/>
          <w:bCs/>
          <w:sz w:val="22"/>
          <w:szCs w:val="22"/>
        </w:rPr>
        <w:lastRenderedPageBreak/>
        <w:t>Pola-R-CHP (</w:t>
      </w:r>
      <w:proofErr w:type="spellStart"/>
      <w:r w:rsidRPr="001D0A7E">
        <w:rPr>
          <w:rFonts w:ascii="Verdana" w:hAnsi="Verdana"/>
          <w:b/>
          <w:bCs/>
          <w:sz w:val="22"/>
          <w:szCs w:val="22"/>
        </w:rPr>
        <w:t>Polatuzumab</w:t>
      </w:r>
      <w:proofErr w:type="spellEnd"/>
      <w:r w:rsidRPr="001D0A7E">
        <w:rPr>
          <w:rFonts w:ascii="Verdana" w:hAnsi="Verdana"/>
          <w:b/>
          <w:bCs/>
          <w:sz w:val="22"/>
          <w:szCs w:val="22"/>
        </w:rPr>
        <w:t xml:space="preserve"> </w:t>
      </w:r>
      <w:proofErr w:type="spellStart"/>
      <w:r w:rsidRPr="001D0A7E">
        <w:rPr>
          <w:rFonts w:ascii="Verdana" w:hAnsi="Verdana"/>
          <w:b/>
          <w:bCs/>
          <w:sz w:val="22"/>
          <w:szCs w:val="22"/>
        </w:rPr>
        <w:t>vedotin</w:t>
      </w:r>
      <w:proofErr w:type="spellEnd"/>
      <w:r w:rsidRPr="001D0A7E">
        <w:rPr>
          <w:rFonts w:ascii="Verdana" w:hAnsi="Verdana"/>
          <w:b/>
          <w:bCs/>
          <w:sz w:val="22"/>
          <w:szCs w:val="22"/>
        </w:rPr>
        <w:t xml:space="preserve"> with rituximab, cyclophosphamide, doxorubicin hydrochloride, and prednisolone) </w:t>
      </w:r>
    </w:p>
    <w:p w14:paraId="09616C83" w14:textId="599C86F4" w:rsidR="001D0A7E" w:rsidRPr="001D0A7E" w:rsidRDefault="00E077B0" w:rsidP="001D0A7E">
      <w:pPr>
        <w:spacing w:line="254" w:lineRule="auto"/>
        <w:rPr>
          <w:rFonts w:ascii="Verdana" w:hAnsi="Verdana"/>
          <w:sz w:val="22"/>
          <w:szCs w:val="22"/>
        </w:rPr>
      </w:pPr>
      <w:r>
        <w:rPr>
          <w:rFonts w:ascii="Verdana" w:hAnsi="Verdana"/>
          <w:sz w:val="22"/>
          <w:szCs w:val="22"/>
        </w:rPr>
        <w:t>8</w:t>
      </w:r>
    </w:p>
    <w:p w14:paraId="1B21FAD5" w14:textId="6364E461" w:rsidR="001D0A7E" w:rsidRDefault="001D0A7E" w:rsidP="001D0A7E">
      <w:pPr>
        <w:spacing w:line="254" w:lineRule="auto"/>
        <w:rPr>
          <w:rFonts w:ascii="Verdana" w:hAnsi="Verdana"/>
          <w:b/>
          <w:bCs/>
          <w:sz w:val="22"/>
          <w:szCs w:val="22"/>
        </w:rPr>
      </w:pPr>
      <w:r w:rsidRPr="001D0A7E">
        <w:rPr>
          <w:rFonts w:ascii="Verdana" w:hAnsi="Verdana"/>
          <w:b/>
          <w:bCs/>
          <w:sz w:val="22"/>
          <w:szCs w:val="22"/>
        </w:rPr>
        <w:t>R-CODOX-M (rituximab, cyclophosphamide, vincristine, doxorubicin and methotrexate)</w:t>
      </w:r>
    </w:p>
    <w:p w14:paraId="309A4C95" w14:textId="1535C501" w:rsidR="001D0A7E" w:rsidRPr="001D0A7E" w:rsidRDefault="001D0A7E" w:rsidP="001D0A7E">
      <w:pPr>
        <w:spacing w:line="254" w:lineRule="auto"/>
        <w:rPr>
          <w:rFonts w:ascii="Verdana" w:hAnsi="Verdana"/>
          <w:sz w:val="22"/>
          <w:szCs w:val="22"/>
        </w:rPr>
      </w:pPr>
      <w:r>
        <w:rPr>
          <w:rFonts w:ascii="Verdana" w:hAnsi="Verdana"/>
          <w:sz w:val="22"/>
          <w:szCs w:val="22"/>
        </w:rPr>
        <w:t xml:space="preserve">Nil </w:t>
      </w:r>
    </w:p>
    <w:p w14:paraId="01A08B4F" w14:textId="4AD3848A" w:rsidR="001D0A7E" w:rsidRDefault="001D0A7E" w:rsidP="001D0A7E">
      <w:pPr>
        <w:spacing w:line="254" w:lineRule="auto"/>
        <w:rPr>
          <w:rFonts w:ascii="Verdana" w:hAnsi="Verdana"/>
          <w:b/>
          <w:bCs/>
          <w:sz w:val="22"/>
          <w:szCs w:val="22"/>
        </w:rPr>
      </w:pPr>
      <w:r w:rsidRPr="001D0A7E">
        <w:rPr>
          <w:rFonts w:ascii="Verdana" w:hAnsi="Verdana"/>
          <w:b/>
          <w:bCs/>
          <w:sz w:val="22"/>
          <w:szCs w:val="22"/>
        </w:rPr>
        <w:t xml:space="preserve">R-IVAC (rituximab, </w:t>
      </w:r>
      <w:proofErr w:type="spellStart"/>
      <w:r w:rsidRPr="001D0A7E">
        <w:rPr>
          <w:rFonts w:ascii="Verdana" w:hAnsi="Verdana"/>
          <w:b/>
          <w:bCs/>
          <w:sz w:val="22"/>
          <w:szCs w:val="22"/>
        </w:rPr>
        <w:t>ifosfamide</w:t>
      </w:r>
      <w:proofErr w:type="spellEnd"/>
      <w:r w:rsidRPr="001D0A7E">
        <w:rPr>
          <w:rFonts w:ascii="Verdana" w:hAnsi="Verdana"/>
          <w:b/>
          <w:bCs/>
          <w:sz w:val="22"/>
          <w:szCs w:val="22"/>
        </w:rPr>
        <w:t>, etoposide and cytarabine)</w:t>
      </w:r>
    </w:p>
    <w:p w14:paraId="2F907F6B" w14:textId="7FC79C38" w:rsidR="001D0A7E" w:rsidRPr="001D0A7E" w:rsidRDefault="001D0A7E" w:rsidP="001D0A7E">
      <w:pPr>
        <w:spacing w:line="254" w:lineRule="auto"/>
        <w:rPr>
          <w:rFonts w:ascii="Verdana" w:hAnsi="Verdana"/>
          <w:sz w:val="22"/>
          <w:szCs w:val="22"/>
        </w:rPr>
      </w:pPr>
      <w:r>
        <w:rPr>
          <w:rFonts w:ascii="Verdana" w:hAnsi="Verdana"/>
          <w:sz w:val="22"/>
          <w:szCs w:val="22"/>
        </w:rPr>
        <w:t>Nil</w:t>
      </w:r>
    </w:p>
    <w:p w14:paraId="070D0595" w14:textId="27C0FAAB" w:rsidR="001D0A7E" w:rsidRDefault="001D0A7E" w:rsidP="001D0A7E">
      <w:pPr>
        <w:spacing w:line="254" w:lineRule="auto"/>
        <w:rPr>
          <w:rFonts w:ascii="Verdana" w:hAnsi="Verdana"/>
          <w:b/>
          <w:bCs/>
          <w:sz w:val="22"/>
          <w:szCs w:val="22"/>
        </w:rPr>
      </w:pPr>
      <w:proofErr w:type="spellStart"/>
      <w:r w:rsidRPr="001D0A7E">
        <w:rPr>
          <w:rFonts w:ascii="Verdana" w:hAnsi="Verdana"/>
          <w:b/>
          <w:bCs/>
          <w:sz w:val="22"/>
          <w:szCs w:val="22"/>
        </w:rPr>
        <w:t>Axicabtagene</w:t>
      </w:r>
      <w:proofErr w:type="spellEnd"/>
      <w:r w:rsidRPr="001D0A7E">
        <w:rPr>
          <w:rFonts w:ascii="Verdana" w:hAnsi="Verdana"/>
          <w:b/>
          <w:bCs/>
          <w:sz w:val="22"/>
          <w:szCs w:val="22"/>
        </w:rPr>
        <w:t xml:space="preserve"> </w:t>
      </w:r>
      <w:proofErr w:type="spellStart"/>
      <w:r w:rsidRPr="001D0A7E">
        <w:rPr>
          <w:rFonts w:ascii="Verdana" w:hAnsi="Verdana"/>
          <w:b/>
          <w:bCs/>
          <w:sz w:val="22"/>
          <w:szCs w:val="22"/>
        </w:rPr>
        <w:t>ciloleucel</w:t>
      </w:r>
      <w:proofErr w:type="spellEnd"/>
      <w:r w:rsidRPr="001D0A7E">
        <w:rPr>
          <w:rFonts w:ascii="Verdana" w:hAnsi="Verdana"/>
          <w:b/>
          <w:bCs/>
          <w:sz w:val="22"/>
          <w:szCs w:val="22"/>
        </w:rPr>
        <w:t xml:space="preserve"> (</w:t>
      </w:r>
      <w:proofErr w:type="spellStart"/>
      <w:r w:rsidRPr="001D0A7E">
        <w:rPr>
          <w:rFonts w:ascii="Verdana" w:hAnsi="Verdana"/>
          <w:b/>
          <w:bCs/>
          <w:sz w:val="22"/>
          <w:szCs w:val="22"/>
        </w:rPr>
        <w:t>Yescarta</w:t>
      </w:r>
      <w:proofErr w:type="spellEnd"/>
      <w:r w:rsidRPr="001D0A7E">
        <w:rPr>
          <w:rFonts w:ascii="Verdana" w:hAnsi="Verdana"/>
          <w:b/>
          <w:bCs/>
          <w:sz w:val="22"/>
          <w:szCs w:val="22"/>
        </w:rPr>
        <w:t>)</w:t>
      </w:r>
    </w:p>
    <w:p w14:paraId="315D425F" w14:textId="70AB258F" w:rsidR="001D0A7E" w:rsidRPr="001D0A7E" w:rsidRDefault="001D0A7E" w:rsidP="001D0A7E">
      <w:pPr>
        <w:spacing w:line="254" w:lineRule="auto"/>
        <w:rPr>
          <w:rFonts w:ascii="Verdana" w:hAnsi="Verdana"/>
          <w:sz w:val="22"/>
          <w:szCs w:val="22"/>
        </w:rPr>
      </w:pPr>
      <w:r>
        <w:rPr>
          <w:rFonts w:ascii="Verdana" w:hAnsi="Verdana"/>
          <w:sz w:val="22"/>
          <w:szCs w:val="22"/>
        </w:rPr>
        <w:t xml:space="preserve">Swansea Bay University Health Board does not hold this information. Patients receiving this treatment are treated under another health board. </w:t>
      </w:r>
      <w:r w:rsidR="00E077B0">
        <w:rPr>
          <w:rFonts w:ascii="Verdana" w:hAnsi="Verdana"/>
          <w:sz w:val="22"/>
          <w:szCs w:val="22"/>
        </w:rPr>
        <w:t xml:space="preserve">Please contact Cardiff and Vale University Health Board for this information. </w:t>
      </w:r>
    </w:p>
    <w:p w14:paraId="199BDB3B" w14:textId="37A417D8" w:rsidR="001D0A7E" w:rsidRDefault="001D0A7E" w:rsidP="001D0A7E">
      <w:pPr>
        <w:spacing w:line="254" w:lineRule="auto"/>
        <w:rPr>
          <w:rFonts w:ascii="Verdana" w:hAnsi="Verdana"/>
          <w:b/>
          <w:bCs/>
          <w:sz w:val="22"/>
          <w:szCs w:val="22"/>
        </w:rPr>
      </w:pPr>
      <w:proofErr w:type="spellStart"/>
      <w:r w:rsidRPr="001D0A7E">
        <w:rPr>
          <w:rFonts w:ascii="Verdana" w:hAnsi="Verdana"/>
          <w:b/>
          <w:bCs/>
          <w:sz w:val="22"/>
          <w:szCs w:val="22"/>
        </w:rPr>
        <w:t>Tisagenlecleucel</w:t>
      </w:r>
      <w:proofErr w:type="spellEnd"/>
    </w:p>
    <w:p w14:paraId="4D1408AB" w14:textId="77777777" w:rsidR="00E077B0" w:rsidRPr="001D0A7E" w:rsidRDefault="001D0A7E" w:rsidP="00E077B0">
      <w:pPr>
        <w:spacing w:line="254" w:lineRule="auto"/>
        <w:rPr>
          <w:rFonts w:ascii="Verdana" w:hAnsi="Verdana"/>
          <w:sz w:val="22"/>
          <w:szCs w:val="22"/>
        </w:rPr>
      </w:pPr>
      <w:r>
        <w:rPr>
          <w:rFonts w:ascii="Verdana" w:hAnsi="Verdana"/>
          <w:sz w:val="22"/>
          <w:szCs w:val="22"/>
        </w:rPr>
        <w:t xml:space="preserve">Swansea Bay University Health Board does not hold this information. Patients receiving this treatment are treated under another health board. </w:t>
      </w:r>
      <w:r w:rsidR="00E077B0">
        <w:rPr>
          <w:rFonts w:ascii="Verdana" w:hAnsi="Verdana"/>
          <w:sz w:val="22"/>
          <w:szCs w:val="22"/>
        </w:rPr>
        <w:t xml:space="preserve">Please contact Cardiff and Vale University Health Board for this information. </w:t>
      </w:r>
    </w:p>
    <w:p w14:paraId="0B362AF6" w14:textId="35551F22" w:rsidR="001D0A7E" w:rsidRDefault="001D0A7E" w:rsidP="001D0A7E">
      <w:pPr>
        <w:spacing w:line="254" w:lineRule="auto"/>
        <w:rPr>
          <w:rFonts w:ascii="Verdana" w:hAnsi="Verdana"/>
          <w:b/>
          <w:bCs/>
          <w:sz w:val="22"/>
          <w:szCs w:val="22"/>
        </w:rPr>
      </w:pPr>
      <w:proofErr w:type="spellStart"/>
      <w:r w:rsidRPr="001D0A7E">
        <w:rPr>
          <w:rFonts w:ascii="Verdana" w:hAnsi="Verdana"/>
          <w:b/>
          <w:bCs/>
          <w:sz w:val="22"/>
          <w:szCs w:val="22"/>
        </w:rPr>
        <w:t>Epcoritamab</w:t>
      </w:r>
      <w:proofErr w:type="spellEnd"/>
      <w:r w:rsidRPr="001D0A7E">
        <w:rPr>
          <w:rFonts w:ascii="Verdana" w:hAnsi="Verdana"/>
          <w:b/>
          <w:bCs/>
          <w:sz w:val="22"/>
          <w:szCs w:val="22"/>
        </w:rPr>
        <w:t xml:space="preserve"> </w:t>
      </w:r>
    </w:p>
    <w:p w14:paraId="1D982E4D" w14:textId="0FD751E0" w:rsidR="001D0A7E" w:rsidRPr="001D0A7E" w:rsidRDefault="001D0A7E" w:rsidP="001D0A7E">
      <w:pPr>
        <w:spacing w:line="254" w:lineRule="auto"/>
        <w:rPr>
          <w:rFonts w:ascii="Verdana" w:hAnsi="Verdana"/>
          <w:sz w:val="22"/>
          <w:szCs w:val="22"/>
        </w:rPr>
      </w:pPr>
      <w:r>
        <w:rPr>
          <w:rFonts w:ascii="Verdana" w:hAnsi="Verdana"/>
          <w:sz w:val="22"/>
          <w:szCs w:val="22"/>
        </w:rPr>
        <w:t>Ni</w:t>
      </w:r>
      <w:r w:rsidR="008352C1">
        <w:rPr>
          <w:rFonts w:ascii="Verdana" w:hAnsi="Verdana"/>
          <w:sz w:val="22"/>
          <w:szCs w:val="22"/>
        </w:rPr>
        <w:t>l</w:t>
      </w:r>
    </w:p>
    <w:p w14:paraId="381AC3E5" w14:textId="51639838" w:rsidR="001D0A7E" w:rsidRDefault="001D0A7E" w:rsidP="001D0A7E">
      <w:pPr>
        <w:spacing w:line="254" w:lineRule="auto"/>
        <w:rPr>
          <w:rFonts w:ascii="Verdana" w:hAnsi="Verdana"/>
          <w:b/>
          <w:bCs/>
          <w:sz w:val="22"/>
          <w:szCs w:val="22"/>
        </w:rPr>
      </w:pPr>
      <w:proofErr w:type="spellStart"/>
      <w:r w:rsidRPr="001D0A7E">
        <w:rPr>
          <w:rFonts w:ascii="Verdana" w:hAnsi="Verdana"/>
          <w:b/>
          <w:bCs/>
          <w:sz w:val="22"/>
          <w:szCs w:val="22"/>
        </w:rPr>
        <w:t>Loncastuximab</w:t>
      </w:r>
      <w:proofErr w:type="spellEnd"/>
      <w:r w:rsidRPr="001D0A7E">
        <w:rPr>
          <w:rFonts w:ascii="Verdana" w:hAnsi="Verdana"/>
          <w:b/>
          <w:bCs/>
          <w:sz w:val="22"/>
          <w:szCs w:val="22"/>
        </w:rPr>
        <w:t xml:space="preserve"> </w:t>
      </w:r>
      <w:proofErr w:type="spellStart"/>
      <w:r w:rsidRPr="001D0A7E">
        <w:rPr>
          <w:rFonts w:ascii="Verdana" w:hAnsi="Verdana"/>
          <w:b/>
          <w:bCs/>
          <w:sz w:val="22"/>
          <w:szCs w:val="22"/>
        </w:rPr>
        <w:t>tesirine</w:t>
      </w:r>
      <w:proofErr w:type="spellEnd"/>
    </w:p>
    <w:p w14:paraId="74D38876" w14:textId="08C1ADC2" w:rsidR="001D0A7E" w:rsidRPr="001D0A7E" w:rsidRDefault="001D0A7E" w:rsidP="001D0A7E">
      <w:pPr>
        <w:spacing w:line="254" w:lineRule="auto"/>
        <w:rPr>
          <w:rFonts w:ascii="Verdana" w:hAnsi="Verdana"/>
          <w:sz w:val="22"/>
          <w:szCs w:val="22"/>
        </w:rPr>
      </w:pPr>
      <w:r>
        <w:rPr>
          <w:rFonts w:ascii="Verdana" w:hAnsi="Verdana"/>
          <w:sz w:val="22"/>
          <w:szCs w:val="22"/>
        </w:rPr>
        <w:t xml:space="preserve">Nil </w:t>
      </w:r>
    </w:p>
    <w:p w14:paraId="75DA03F0" w14:textId="0933B1FD" w:rsidR="001D0A7E" w:rsidRDefault="001D0A7E" w:rsidP="001D0A7E">
      <w:pPr>
        <w:spacing w:line="254" w:lineRule="auto"/>
        <w:rPr>
          <w:rFonts w:ascii="Verdana" w:hAnsi="Verdana"/>
          <w:b/>
          <w:bCs/>
          <w:sz w:val="22"/>
          <w:szCs w:val="22"/>
        </w:rPr>
      </w:pPr>
      <w:proofErr w:type="spellStart"/>
      <w:r w:rsidRPr="001D0A7E">
        <w:rPr>
          <w:rFonts w:ascii="Verdana" w:hAnsi="Verdana"/>
          <w:b/>
          <w:bCs/>
          <w:sz w:val="22"/>
          <w:szCs w:val="22"/>
        </w:rPr>
        <w:t>Glofitamab</w:t>
      </w:r>
      <w:proofErr w:type="spellEnd"/>
    </w:p>
    <w:p w14:paraId="1F3FE777" w14:textId="4DE14B44" w:rsidR="001D0A7E" w:rsidRPr="001D0A7E" w:rsidRDefault="001D0A7E" w:rsidP="001D0A7E">
      <w:pPr>
        <w:spacing w:line="254" w:lineRule="auto"/>
        <w:rPr>
          <w:rFonts w:ascii="Verdana" w:hAnsi="Verdana"/>
          <w:sz w:val="22"/>
          <w:szCs w:val="22"/>
        </w:rPr>
      </w:pPr>
      <w:r>
        <w:rPr>
          <w:rFonts w:ascii="Verdana" w:hAnsi="Verdana"/>
          <w:sz w:val="22"/>
          <w:szCs w:val="22"/>
        </w:rPr>
        <w:t>&lt;5*</w:t>
      </w:r>
    </w:p>
    <w:p w14:paraId="47D60B51" w14:textId="57114F63" w:rsidR="001D0A7E" w:rsidRDefault="001D0A7E" w:rsidP="001D0A7E">
      <w:pPr>
        <w:spacing w:line="254" w:lineRule="auto"/>
        <w:rPr>
          <w:rFonts w:ascii="Verdana" w:hAnsi="Verdana"/>
          <w:b/>
          <w:bCs/>
          <w:sz w:val="22"/>
          <w:szCs w:val="22"/>
        </w:rPr>
      </w:pPr>
      <w:r w:rsidRPr="001D0A7E">
        <w:rPr>
          <w:rFonts w:ascii="Verdana" w:hAnsi="Verdana"/>
          <w:b/>
          <w:bCs/>
          <w:sz w:val="22"/>
          <w:szCs w:val="22"/>
        </w:rPr>
        <w:t>Any other SACT</w:t>
      </w:r>
    </w:p>
    <w:p w14:paraId="4E1F6114" w14:textId="24DC2D7C" w:rsidR="001D0A7E" w:rsidRPr="001D0A7E" w:rsidRDefault="001D0A7E" w:rsidP="001D0A7E">
      <w:pPr>
        <w:spacing w:line="254" w:lineRule="auto"/>
        <w:rPr>
          <w:rFonts w:ascii="Verdana" w:hAnsi="Verdana"/>
          <w:sz w:val="22"/>
          <w:szCs w:val="22"/>
        </w:rPr>
      </w:pPr>
      <w:r>
        <w:rPr>
          <w:rFonts w:ascii="Verdana" w:hAnsi="Verdana"/>
          <w:sz w:val="22"/>
          <w:szCs w:val="22"/>
        </w:rPr>
        <w:t>8</w:t>
      </w:r>
    </w:p>
    <w:p w14:paraId="797D0973" w14:textId="77777777" w:rsidR="001D0A7E" w:rsidRPr="001D0A7E" w:rsidRDefault="001D0A7E" w:rsidP="001D0A7E">
      <w:pPr>
        <w:spacing w:line="254" w:lineRule="auto"/>
        <w:rPr>
          <w:rFonts w:ascii="Verdana" w:hAnsi="Verdana"/>
          <w:b/>
          <w:bCs/>
          <w:sz w:val="22"/>
          <w:szCs w:val="22"/>
        </w:rPr>
      </w:pPr>
      <w:r w:rsidRPr="001D0A7E">
        <w:rPr>
          <w:rFonts w:ascii="Verdana" w:hAnsi="Verdana"/>
          <w:b/>
          <w:bCs/>
          <w:sz w:val="22"/>
          <w:szCs w:val="22"/>
        </w:rPr>
        <w:t>Stem cell transplant or bone marrow transplant (autologous or allogeneic)</w:t>
      </w:r>
    </w:p>
    <w:p w14:paraId="75D7DF9F" w14:textId="7FAB3CCD" w:rsidR="00E077B0" w:rsidRPr="001D0A7E" w:rsidRDefault="001D0A7E" w:rsidP="00E077B0">
      <w:pPr>
        <w:spacing w:line="254" w:lineRule="auto"/>
        <w:rPr>
          <w:rFonts w:ascii="Verdana" w:hAnsi="Verdana"/>
          <w:sz w:val="22"/>
          <w:szCs w:val="22"/>
        </w:rPr>
      </w:pPr>
      <w:r>
        <w:rPr>
          <w:rFonts w:ascii="Verdana" w:hAnsi="Verdana"/>
          <w:sz w:val="22"/>
          <w:szCs w:val="22"/>
        </w:rPr>
        <w:t xml:space="preserve">Patients receiving this treatment are treated under another health board. </w:t>
      </w:r>
      <w:r w:rsidR="00E077B0">
        <w:rPr>
          <w:rFonts w:ascii="Verdana" w:hAnsi="Verdana"/>
          <w:sz w:val="22"/>
          <w:szCs w:val="22"/>
        </w:rPr>
        <w:t xml:space="preserve">Please contact Cardiff and Vale University Health Board for this information. </w:t>
      </w:r>
    </w:p>
    <w:p w14:paraId="5A599F2B" w14:textId="6BC8C7C9" w:rsidR="001D0A7E" w:rsidRPr="001D0A7E" w:rsidRDefault="001D0A7E" w:rsidP="001D0A7E">
      <w:pPr>
        <w:spacing w:line="254" w:lineRule="auto"/>
        <w:rPr>
          <w:rFonts w:ascii="Verdana" w:hAnsi="Verdana"/>
          <w:b/>
          <w:bCs/>
          <w:sz w:val="22"/>
          <w:szCs w:val="22"/>
        </w:rPr>
      </w:pPr>
      <w:r w:rsidRPr="001D0A7E">
        <w:rPr>
          <w:rFonts w:ascii="Verdana" w:hAnsi="Verdana"/>
          <w:b/>
          <w:bCs/>
          <w:sz w:val="22"/>
          <w:szCs w:val="22"/>
        </w:rPr>
        <w:t>Q3. In the last 6 months</w:t>
      </w:r>
      <w:r>
        <w:rPr>
          <w:rFonts w:ascii="Verdana" w:hAnsi="Verdana"/>
          <w:b/>
          <w:bCs/>
          <w:sz w:val="22"/>
          <w:szCs w:val="22"/>
        </w:rPr>
        <w:t xml:space="preserve"> (</w:t>
      </w:r>
      <w:r w:rsidR="00E077B0">
        <w:rPr>
          <w:rFonts w:ascii="Verdana" w:hAnsi="Verdana"/>
          <w:b/>
          <w:bCs/>
          <w:sz w:val="22"/>
          <w:szCs w:val="22"/>
        </w:rPr>
        <w:t>October to March 2024</w:t>
      </w:r>
      <w:r>
        <w:rPr>
          <w:rFonts w:ascii="Verdana" w:hAnsi="Verdana"/>
          <w:b/>
          <w:bCs/>
          <w:sz w:val="22"/>
          <w:szCs w:val="22"/>
        </w:rPr>
        <w:t>)</w:t>
      </w:r>
      <w:r w:rsidRPr="001D0A7E">
        <w:rPr>
          <w:rFonts w:ascii="Verdana" w:hAnsi="Verdana"/>
          <w:b/>
          <w:bCs/>
          <w:sz w:val="22"/>
          <w:szCs w:val="22"/>
        </w:rPr>
        <w:t xml:space="preserve"> how many patients have received the following 2nd line treatments for Diffuse Large B Cell Lymphoma (DLBCL):</w:t>
      </w:r>
    </w:p>
    <w:p w14:paraId="3B3C2C5B" w14:textId="1F7BDB2B" w:rsidR="001D0A7E" w:rsidRDefault="001D0A7E" w:rsidP="001D0A7E">
      <w:pPr>
        <w:spacing w:line="254" w:lineRule="auto"/>
        <w:rPr>
          <w:rFonts w:ascii="Verdana" w:hAnsi="Verdana"/>
          <w:b/>
          <w:bCs/>
          <w:sz w:val="22"/>
          <w:szCs w:val="22"/>
        </w:rPr>
      </w:pPr>
      <w:proofErr w:type="spellStart"/>
      <w:r w:rsidRPr="001D0A7E">
        <w:rPr>
          <w:rFonts w:ascii="Verdana" w:hAnsi="Verdana"/>
          <w:b/>
          <w:bCs/>
          <w:sz w:val="22"/>
          <w:szCs w:val="22"/>
        </w:rPr>
        <w:t>Axicabtagene</w:t>
      </w:r>
      <w:proofErr w:type="spellEnd"/>
      <w:r w:rsidRPr="001D0A7E">
        <w:rPr>
          <w:rFonts w:ascii="Verdana" w:hAnsi="Verdana"/>
          <w:b/>
          <w:bCs/>
          <w:sz w:val="22"/>
          <w:szCs w:val="22"/>
        </w:rPr>
        <w:t xml:space="preserve"> </w:t>
      </w:r>
      <w:proofErr w:type="spellStart"/>
      <w:r w:rsidRPr="001D0A7E">
        <w:rPr>
          <w:rFonts w:ascii="Verdana" w:hAnsi="Verdana"/>
          <w:b/>
          <w:bCs/>
          <w:sz w:val="22"/>
          <w:szCs w:val="22"/>
        </w:rPr>
        <w:t>ciloleucel</w:t>
      </w:r>
      <w:proofErr w:type="spellEnd"/>
      <w:r w:rsidRPr="001D0A7E">
        <w:rPr>
          <w:rFonts w:ascii="Verdana" w:hAnsi="Verdana"/>
          <w:b/>
          <w:bCs/>
          <w:sz w:val="22"/>
          <w:szCs w:val="22"/>
        </w:rPr>
        <w:t xml:space="preserve"> (</w:t>
      </w:r>
      <w:proofErr w:type="spellStart"/>
      <w:r w:rsidRPr="001D0A7E">
        <w:rPr>
          <w:rFonts w:ascii="Verdana" w:hAnsi="Verdana"/>
          <w:b/>
          <w:bCs/>
          <w:sz w:val="22"/>
          <w:szCs w:val="22"/>
        </w:rPr>
        <w:t>Yescarta</w:t>
      </w:r>
      <w:proofErr w:type="spellEnd"/>
      <w:r w:rsidRPr="001D0A7E">
        <w:rPr>
          <w:rFonts w:ascii="Verdana" w:hAnsi="Verdana"/>
          <w:b/>
          <w:bCs/>
          <w:sz w:val="22"/>
          <w:szCs w:val="22"/>
        </w:rPr>
        <w:t>)</w:t>
      </w:r>
    </w:p>
    <w:p w14:paraId="6D93C960" w14:textId="20FB0D7D" w:rsidR="00E077B0" w:rsidRPr="00E077B0" w:rsidRDefault="00E077B0" w:rsidP="001D0A7E">
      <w:pPr>
        <w:spacing w:line="254" w:lineRule="auto"/>
        <w:rPr>
          <w:rFonts w:ascii="Verdana" w:hAnsi="Verdana"/>
          <w:sz w:val="22"/>
          <w:szCs w:val="22"/>
        </w:rPr>
      </w:pPr>
      <w:r>
        <w:rPr>
          <w:rFonts w:ascii="Verdana" w:hAnsi="Verdana"/>
          <w:sz w:val="22"/>
          <w:szCs w:val="22"/>
        </w:rPr>
        <w:t>Nil</w:t>
      </w:r>
    </w:p>
    <w:p w14:paraId="0E7E82F1" w14:textId="5A414136" w:rsidR="001D0A7E" w:rsidRDefault="001D0A7E" w:rsidP="001D0A7E">
      <w:pPr>
        <w:spacing w:line="254" w:lineRule="auto"/>
        <w:rPr>
          <w:rFonts w:ascii="Verdana" w:hAnsi="Verdana"/>
          <w:b/>
          <w:bCs/>
          <w:sz w:val="22"/>
          <w:szCs w:val="22"/>
        </w:rPr>
      </w:pPr>
      <w:proofErr w:type="spellStart"/>
      <w:r w:rsidRPr="001D0A7E">
        <w:rPr>
          <w:rFonts w:ascii="Verdana" w:hAnsi="Verdana"/>
          <w:b/>
          <w:bCs/>
          <w:sz w:val="22"/>
          <w:szCs w:val="22"/>
        </w:rPr>
        <w:t>Tisagenlecleucel</w:t>
      </w:r>
      <w:proofErr w:type="spellEnd"/>
    </w:p>
    <w:p w14:paraId="146F956D" w14:textId="6FCCA404" w:rsidR="00E077B0" w:rsidRPr="00E077B0" w:rsidRDefault="00E077B0" w:rsidP="001D0A7E">
      <w:pPr>
        <w:spacing w:line="254" w:lineRule="auto"/>
        <w:rPr>
          <w:rFonts w:ascii="Verdana" w:hAnsi="Verdana"/>
          <w:sz w:val="22"/>
          <w:szCs w:val="22"/>
        </w:rPr>
      </w:pPr>
      <w:r>
        <w:rPr>
          <w:rFonts w:ascii="Verdana" w:hAnsi="Verdana"/>
          <w:sz w:val="22"/>
          <w:szCs w:val="22"/>
        </w:rPr>
        <w:t>Nil</w:t>
      </w:r>
    </w:p>
    <w:p w14:paraId="26720FE6" w14:textId="18BD1D79" w:rsidR="001D0A7E" w:rsidRDefault="001D0A7E" w:rsidP="001D0A7E">
      <w:pPr>
        <w:spacing w:line="254" w:lineRule="auto"/>
        <w:rPr>
          <w:rFonts w:ascii="Verdana" w:hAnsi="Verdana"/>
          <w:b/>
          <w:bCs/>
          <w:sz w:val="22"/>
          <w:szCs w:val="22"/>
        </w:rPr>
      </w:pPr>
      <w:r w:rsidRPr="001D0A7E">
        <w:rPr>
          <w:rFonts w:ascii="Verdana" w:hAnsi="Verdana"/>
          <w:b/>
          <w:bCs/>
          <w:sz w:val="22"/>
          <w:szCs w:val="22"/>
        </w:rPr>
        <w:t>Pola-BR (</w:t>
      </w:r>
      <w:proofErr w:type="spellStart"/>
      <w:r w:rsidRPr="001D0A7E">
        <w:rPr>
          <w:rFonts w:ascii="Verdana" w:hAnsi="Verdana"/>
          <w:b/>
          <w:bCs/>
          <w:sz w:val="22"/>
          <w:szCs w:val="22"/>
        </w:rPr>
        <w:t>polatuzumab</w:t>
      </w:r>
      <w:proofErr w:type="spellEnd"/>
      <w:r w:rsidRPr="001D0A7E">
        <w:rPr>
          <w:rFonts w:ascii="Verdana" w:hAnsi="Verdana"/>
          <w:b/>
          <w:bCs/>
          <w:sz w:val="22"/>
          <w:szCs w:val="22"/>
        </w:rPr>
        <w:t xml:space="preserve"> </w:t>
      </w:r>
      <w:proofErr w:type="spellStart"/>
      <w:r w:rsidRPr="001D0A7E">
        <w:rPr>
          <w:rFonts w:ascii="Verdana" w:hAnsi="Verdana"/>
          <w:b/>
          <w:bCs/>
          <w:sz w:val="22"/>
          <w:szCs w:val="22"/>
        </w:rPr>
        <w:t>vedotin</w:t>
      </w:r>
      <w:proofErr w:type="spellEnd"/>
      <w:r w:rsidRPr="001D0A7E">
        <w:rPr>
          <w:rFonts w:ascii="Verdana" w:hAnsi="Verdana"/>
          <w:b/>
          <w:bCs/>
          <w:sz w:val="22"/>
          <w:szCs w:val="22"/>
        </w:rPr>
        <w:t xml:space="preserve"> with rituximab and </w:t>
      </w:r>
      <w:proofErr w:type="spellStart"/>
      <w:r w:rsidRPr="001D0A7E">
        <w:rPr>
          <w:rFonts w:ascii="Verdana" w:hAnsi="Verdana"/>
          <w:b/>
          <w:bCs/>
          <w:sz w:val="22"/>
          <w:szCs w:val="22"/>
        </w:rPr>
        <w:t>bendamustine</w:t>
      </w:r>
      <w:proofErr w:type="spellEnd"/>
      <w:r w:rsidRPr="001D0A7E">
        <w:rPr>
          <w:rFonts w:ascii="Verdana" w:hAnsi="Verdana"/>
          <w:b/>
          <w:bCs/>
          <w:sz w:val="22"/>
          <w:szCs w:val="22"/>
        </w:rPr>
        <w:t xml:space="preserve">) </w:t>
      </w:r>
    </w:p>
    <w:p w14:paraId="2A2073B7" w14:textId="24BBC55B" w:rsidR="00E077B0" w:rsidRPr="00E077B0" w:rsidRDefault="00E077B0" w:rsidP="001D0A7E">
      <w:pPr>
        <w:spacing w:line="254" w:lineRule="auto"/>
        <w:rPr>
          <w:rFonts w:ascii="Verdana" w:hAnsi="Verdana"/>
          <w:sz w:val="22"/>
          <w:szCs w:val="22"/>
        </w:rPr>
      </w:pPr>
      <w:r>
        <w:rPr>
          <w:rFonts w:ascii="Verdana" w:hAnsi="Verdana"/>
          <w:sz w:val="22"/>
          <w:szCs w:val="22"/>
        </w:rPr>
        <w:t>Nil</w:t>
      </w:r>
    </w:p>
    <w:p w14:paraId="00D8B4D0" w14:textId="528EFD1D" w:rsidR="001D0A7E" w:rsidRDefault="001D0A7E" w:rsidP="001D0A7E">
      <w:pPr>
        <w:spacing w:line="254" w:lineRule="auto"/>
        <w:rPr>
          <w:rFonts w:ascii="Verdana" w:hAnsi="Verdana"/>
          <w:b/>
          <w:bCs/>
          <w:sz w:val="22"/>
          <w:szCs w:val="22"/>
        </w:rPr>
      </w:pPr>
      <w:r w:rsidRPr="001D0A7E">
        <w:rPr>
          <w:rFonts w:ascii="Verdana" w:hAnsi="Verdana"/>
          <w:b/>
          <w:bCs/>
          <w:sz w:val="22"/>
          <w:szCs w:val="22"/>
        </w:rPr>
        <w:lastRenderedPageBreak/>
        <w:t>Stem cell transplant or bone marrow transplant (autologous or allogeneic)</w:t>
      </w:r>
    </w:p>
    <w:p w14:paraId="52911F32" w14:textId="08B9BED2" w:rsidR="00E077B0" w:rsidRPr="00E077B0" w:rsidRDefault="00E077B0" w:rsidP="001D0A7E">
      <w:pPr>
        <w:spacing w:line="254" w:lineRule="auto"/>
        <w:rPr>
          <w:rFonts w:ascii="Verdana" w:hAnsi="Verdana"/>
          <w:sz w:val="22"/>
          <w:szCs w:val="22"/>
        </w:rPr>
      </w:pPr>
      <w:r>
        <w:rPr>
          <w:rFonts w:ascii="Verdana" w:hAnsi="Verdana"/>
          <w:sz w:val="22"/>
          <w:szCs w:val="22"/>
        </w:rPr>
        <w:t>Nil</w:t>
      </w:r>
    </w:p>
    <w:p w14:paraId="149D4344" w14:textId="77777777" w:rsidR="001D0A7E" w:rsidRPr="001D0A7E" w:rsidRDefault="001D0A7E" w:rsidP="001D0A7E">
      <w:pPr>
        <w:spacing w:line="254" w:lineRule="auto"/>
        <w:rPr>
          <w:rFonts w:ascii="Verdana" w:hAnsi="Verdana"/>
          <w:b/>
          <w:bCs/>
          <w:sz w:val="22"/>
          <w:szCs w:val="22"/>
        </w:rPr>
      </w:pPr>
      <w:r w:rsidRPr="001D0A7E">
        <w:rPr>
          <w:rFonts w:ascii="Verdana" w:hAnsi="Verdana"/>
          <w:b/>
          <w:bCs/>
          <w:sz w:val="22"/>
          <w:szCs w:val="22"/>
        </w:rPr>
        <w:t>Any other treatments</w:t>
      </w:r>
    </w:p>
    <w:p w14:paraId="702A47EA" w14:textId="5A67D452" w:rsidR="001D0A7E" w:rsidRPr="001D0A7E" w:rsidRDefault="001D0A7E" w:rsidP="001D0A7E">
      <w:pPr>
        <w:spacing w:line="254" w:lineRule="auto"/>
        <w:rPr>
          <w:rFonts w:ascii="Verdana" w:hAnsi="Verdana"/>
          <w:sz w:val="22"/>
          <w:szCs w:val="22"/>
        </w:rPr>
      </w:pPr>
      <w:r>
        <w:rPr>
          <w:rFonts w:ascii="Verdana" w:hAnsi="Verdana"/>
          <w:sz w:val="22"/>
          <w:szCs w:val="22"/>
        </w:rPr>
        <w:t xml:space="preserve">Nil </w:t>
      </w:r>
    </w:p>
    <w:p w14:paraId="2115DAE7" w14:textId="25A276DE" w:rsidR="001D0A7E" w:rsidRPr="001D0A7E" w:rsidRDefault="001D0A7E" w:rsidP="001D0A7E">
      <w:pPr>
        <w:spacing w:line="254" w:lineRule="auto"/>
        <w:rPr>
          <w:rFonts w:ascii="Verdana" w:hAnsi="Verdana"/>
          <w:b/>
          <w:bCs/>
          <w:sz w:val="22"/>
          <w:szCs w:val="22"/>
        </w:rPr>
      </w:pPr>
      <w:r w:rsidRPr="001D0A7E">
        <w:rPr>
          <w:rFonts w:ascii="Verdana" w:hAnsi="Verdana"/>
          <w:b/>
          <w:bCs/>
          <w:sz w:val="22"/>
          <w:szCs w:val="22"/>
        </w:rPr>
        <w:t>Q4. In the last 6 months</w:t>
      </w:r>
      <w:r w:rsidR="00E077B0">
        <w:rPr>
          <w:rFonts w:ascii="Verdana" w:hAnsi="Verdana"/>
          <w:b/>
          <w:bCs/>
          <w:sz w:val="22"/>
          <w:szCs w:val="22"/>
        </w:rPr>
        <w:t xml:space="preserve"> (October to March 2024)</w:t>
      </w:r>
      <w:r w:rsidRPr="001D0A7E">
        <w:rPr>
          <w:rFonts w:ascii="Verdana" w:hAnsi="Verdana"/>
          <w:b/>
          <w:bCs/>
          <w:sz w:val="22"/>
          <w:szCs w:val="22"/>
        </w:rPr>
        <w:t xml:space="preserve"> how many patients have you referred to other </w:t>
      </w:r>
      <w:r w:rsidR="007F3298">
        <w:rPr>
          <w:rFonts w:ascii="Verdana" w:hAnsi="Verdana"/>
          <w:b/>
          <w:bCs/>
          <w:sz w:val="22"/>
          <w:szCs w:val="22"/>
        </w:rPr>
        <w:t>Health Boards</w:t>
      </w:r>
      <w:r w:rsidRPr="001D0A7E">
        <w:rPr>
          <w:rFonts w:ascii="Verdana" w:hAnsi="Verdana"/>
          <w:b/>
          <w:bCs/>
          <w:sz w:val="22"/>
          <w:szCs w:val="22"/>
        </w:rPr>
        <w:t xml:space="preserve"> for the treatment of Diffuse Large B Cell Lymphoma (DLBCL) for the following treatments:</w:t>
      </w:r>
    </w:p>
    <w:p w14:paraId="5E7B8797" w14:textId="77777777" w:rsidR="001D0A7E" w:rsidRDefault="001D0A7E" w:rsidP="001D0A7E">
      <w:pPr>
        <w:spacing w:line="254" w:lineRule="auto"/>
        <w:rPr>
          <w:rFonts w:ascii="Verdana" w:hAnsi="Verdana"/>
          <w:b/>
          <w:bCs/>
          <w:sz w:val="22"/>
          <w:szCs w:val="22"/>
        </w:rPr>
      </w:pPr>
      <w:r w:rsidRPr="001D0A7E">
        <w:rPr>
          <w:rFonts w:ascii="Verdana" w:hAnsi="Verdana"/>
          <w:b/>
          <w:bCs/>
          <w:sz w:val="22"/>
          <w:szCs w:val="22"/>
        </w:rPr>
        <w:t xml:space="preserve">CAR-T Therapy (E.g. </w:t>
      </w:r>
      <w:proofErr w:type="spellStart"/>
      <w:r w:rsidRPr="001D0A7E">
        <w:rPr>
          <w:rFonts w:ascii="Verdana" w:hAnsi="Verdana"/>
          <w:b/>
          <w:bCs/>
          <w:sz w:val="22"/>
          <w:szCs w:val="22"/>
        </w:rPr>
        <w:t>Axicabtagene</w:t>
      </w:r>
      <w:proofErr w:type="spellEnd"/>
      <w:r w:rsidRPr="001D0A7E">
        <w:rPr>
          <w:rFonts w:ascii="Verdana" w:hAnsi="Verdana"/>
          <w:b/>
          <w:bCs/>
          <w:sz w:val="22"/>
          <w:szCs w:val="22"/>
        </w:rPr>
        <w:t xml:space="preserve"> </w:t>
      </w:r>
      <w:proofErr w:type="spellStart"/>
      <w:r w:rsidRPr="001D0A7E">
        <w:rPr>
          <w:rFonts w:ascii="Verdana" w:hAnsi="Verdana"/>
          <w:b/>
          <w:bCs/>
          <w:sz w:val="22"/>
          <w:szCs w:val="22"/>
        </w:rPr>
        <w:t>ciloleucel</w:t>
      </w:r>
      <w:proofErr w:type="spellEnd"/>
      <w:r w:rsidRPr="001D0A7E">
        <w:rPr>
          <w:rFonts w:ascii="Verdana" w:hAnsi="Verdana"/>
          <w:b/>
          <w:bCs/>
          <w:sz w:val="22"/>
          <w:szCs w:val="22"/>
        </w:rPr>
        <w:t>)</w:t>
      </w:r>
    </w:p>
    <w:p w14:paraId="30B5FF3D" w14:textId="7338338B" w:rsidR="007F3298" w:rsidRPr="007F3298" w:rsidRDefault="007F3298" w:rsidP="001D0A7E">
      <w:pPr>
        <w:spacing w:line="254" w:lineRule="auto"/>
        <w:rPr>
          <w:rFonts w:ascii="Verdana" w:hAnsi="Verdana"/>
          <w:sz w:val="22"/>
          <w:szCs w:val="22"/>
        </w:rPr>
      </w:pPr>
      <w:r w:rsidRPr="007F3298">
        <w:rPr>
          <w:rFonts w:ascii="Verdana" w:hAnsi="Verdana"/>
          <w:sz w:val="22"/>
          <w:szCs w:val="22"/>
        </w:rPr>
        <w:t>Nil</w:t>
      </w:r>
    </w:p>
    <w:p w14:paraId="440D841F" w14:textId="77777777" w:rsidR="001D0A7E" w:rsidRDefault="001D0A7E" w:rsidP="001D0A7E">
      <w:pPr>
        <w:spacing w:line="254" w:lineRule="auto"/>
        <w:rPr>
          <w:rFonts w:ascii="Verdana" w:hAnsi="Verdana"/>
          <w:b/>
          <w:bCs/>
          <w:sz w:val="22"/>
          <w:szCs w:val="22"/>
        </w:rPr>
      </w:pPr>
      <w:r w:rsidRPr="001D0A7E">
        <w:rPr>
          <w:rFonts w:ascii="Verdana" w:hAnsi="Verdana"/>
          <w:b/>
          <w:bCs/>
          <w:sz w:val="22"/>
          <w:szCs w:val="22"/>
        </w:rPr>
        <w:t>Stem cell transplant or bone marrow transplant (autologous or allogeneic)</w:t>
      </w:r>
    </w:p>
    <w:p w14:paraId="7C1E45E0" w14:textId="3EF03A6A" w:rsidR="007F3298" w:rsidRPr="007F3298" w:rsidRDefault="007F3298" w:rsidP="001D0A7E">
      <w:pPr>
        <w:spacing w:line="254" w:lineRule="auto"/>
        <w:rPr>
          <w:rFonts w:ascii="Verdana" w:hAnsi="Verdana"/>
          <w:sz w:val="22"/>
          <w:szCs w:val="22"/>
        </w:rPr>
      </w:pPr>
      <w:r>
        <w:rPr>
          <w:rFonts w:ascii="Verdana" w:hAnsi="Verdana"/>
          <w:sz w:val="22"/>
          <w:szCs w:val="22"/>
        </w:rPr>
        <w:t>&lt;5*</w:t>
      </w:r>
    </w:p>
    <w:p w14:paraId="5592720D" w14:textId="77777777" w:rsidR="001D0A7E" w:rsidRDefault="001D0A7E" w:rsidP="001D0A7E">
      <w:pPr>
        <w:spacing w:line="254" w:lineRule="auto"/>
        <w:rPr>
          <w:rFonts w:ascii="Verdana" w:hAnsi="Verdana"/>
          <w:b/>
          <w:bCs/>
          <w:sz w:val="22"/>
          <w:szCs w:val="22"/>
        </w:rPr>
      </w:pPr>
      <w:r w:rsidRPr="001D0A7E">
        <w:rPr>
          <w:rFonts w:ascii="Verdana" w:hAnsi="Verdana"/>
          <w:b/>
          <w:bCs/>
          <w:sz w:val="22"/>
          <w:szCs w:val="22"/>
        </w:rPr>
        <w:t>Any other treatment</w:t>
      </w:r>
    </w:p>
    <w:p w14:paraId="6E2E3FED" w14:textId="5DA6F6A0" w:rsidR="001D0A7E" w:rsidRPr="007F3298" w:rsidRDefault="007F3298" w:rsidP="001D0A7E">
      <w:pPr>
        <w:spacing w:line="254" w:lineRule="auto"/>
        <w:rPr>
          <w:rFonts w:ascii="Verdana" w:hAnsi="Verdana"/>
          <w:sz w:val="22"/>
          <w:szCs w:val="22"/>
        </w:rPr>
      </w:pPr>
      <w:r w:rsidRPr="007F3298">
        <w:rPr>
          <w:rFonts w:ascii="Verdana" w:hAnsi="Verdana"/>
          <w:sz w:val="22"/>
          <w:szCs w:val="22"/>
        </w:rPr>
        <w:t>Nil</w:t>
      </w:r>
      <w:r w:rsidR="001D0A7E" w:rsidRPr="007F3298">
        <w:rPr>
          <w:rFonts w:ascii="Verdana" w:hAnsi="Verdana"/>
          <w:sz w:val="22"/>
          <w:szCs w:val="22"/>
        </w:rPr>
        <w:t> </w:t>
      </w:r>
    </w:p>
    <w:p w14:paraId="7F5753D1" w14:textId="77777777" w:rsidR="001D0A7E" w:rsidRPr="001D0A7E" w:rsidRDefault="001D0A7E" w:rsidP="001D0A7E">
      <w:pPr>
        <w:spacing w:line="254" w:lineRule="auto"/>
        <w:rPr>
          <w:rFonts w:ascii="Verdana" w:hAnsi="Verdana"/>
          <w:b/>
          <w:bCs/>
          <w:sz w:val="22"/>
          <w:szCs w:val="22"/>
        </w:rPr>
      </w:pPr>
      <w:r w:rsidRPr="001D0A7E">
        <w:rPr>
          <w:rFonts w:ascii="Verdana" w:hAnsi="Verdana"/>
          <w:b/>
          <w:bCs/>
          <w:sz w:val="22"/>
          <w:szCs w:val="22"/>
        </w:rPr>
        <w:t>Q5. Do you participate in any active clinical trials for Diffuse Large B-Cell Lymphoma (DLBCL)? If so, can you please provide the name of each trial along with the number of patients taking part or enrolling?</w:t>
      </w:r>
    </w:p>
    <w:p w14:paraId="4E379383" w14:textId="6177B9BF" w:rsidR="007F3298" w:rsidRDefault="001D0A7E" w:rsidP="005E0FEB">
      <w:pPr>
        <w:rPr>
          <w:rFonts w:ascii="Verdana" w:hAnsi="Verdana"/>
          <w:sz w:val="22"/>
          <w:szCs w:val="22"/>
          <w:lang w:eastAsia="en-US"/>
        </w:rPr>
      </w:pPr>
      <w:r w:rsidRPr="001D0A7E">
        <w:rPr>
          <w:rFonts w:ascii="Verdana" w:hAnsi="Verdana"/>
          <w:sz w:val="22"/>
          <w:szCs w:val="22"/>
          <w:lang w:eastAsia="en-US"/>
        </w:rPr>
        <w:t>We currently have one open recruiting trial:</w:t>
      </w:r>
      <w:r w:rsidR="007F3298">
        <w:rPr>
          <w:rFonts w:ascii="Verdana" w:hAnsi="Verdana"/>
          <w:sz w:val="22"/>
          <w:szCs w:val="22"/>
          <w:lang w:eastAsia="en-US"/>
        </w:rPr>
        <w:t xml:space="preserve"> </w:t>
      </w:r>
      <w:proofErr w:type="spellStart"/>
      <w:r w:rsidRPr="001D0A7E">
        <w:rPr>
          <w:rFonts w:ascii="Verdana" w:hAnsi="Verdana"/>
          <w:sz w:val="22"/>
          <w:szCs w:val="22"/>
          <w:u w:val="single"/>
          <w:lang w:eastAsia="en-US"/>
        </w:rPr>
        <w:t>Remodl</w:t>
      </w:r>
      <w:proofErr w:type="spellEnd"/>
      <w:r w:rsidRPr="001D0A7E">
        <w:rPr>
          <w:rFonts w:ascii="Verdana" w:hAnsi="Verdana"/>
          <w:sz w:val="22"/>
          <w:szCs w:val="22"/>
          <w:u w:val="single"/>
          <w:lang w:eastAsia="en-US"/>
        </w:rPr>
        <w:t xml:space="preserve"> -A</w:t>
      </w:r>
      <w:r w:rsidRPr="001D0A7E">
        <w:rPr>
          <w:rFonts w:ascii="Verdana" w:hAnsi="Verdana"/>
          <w:sz w:val="22"/>
          <w:szCs w:val="22"/>
          <w:lang w:eastAsia="en-US"/>
        </w:rPr>
        <w:t xml:space="preserve"> </w:t>
      </w:r>
    </w:p>
    <w:p w14:paraId="035F8C9F" w14:textId="77777777" w:rsidR="00BD32EB" w:rsidRDefault="001D0A7E" w:rsidP="005E0FEB">
      <w:pPr>
        <w:rPr>
          <w:rFonts w:ascii="Verdana" w:hAnsi="Verdana"/>
          <w:sz w:val="22"/>
          <w:szCs w:val="22"/>
          <w:lang w:eastAsia="en-US"/>
        </w:rPr>
      </w:pPr>
      <w:r w:rsidRPr="001D0A7E">
        <w:rPr>
          <w:rFonts w:ascii="Verdana" w:hAnsi="Verdana"/>
          <w:sz w:val="22"/>
          <w:szCs w:val="22"/>
          <w:lang w:eastAsia="en-US"/>
        </w:rPr>
        <w:t>A Randomised Phase II Evaluation of Molecular Guided Therapy for Diffuse Large B-Cell Lymphoma with Acalabrutinib</w:t>
      </w:r>
      <w:r w:rsidR="005E0FEB">
        <w:rPr>
          <w:rFonts w:ascii="Verdana" w:hAnsi="Verdana"/>
          <w:sz w:val="22"/>
          <w:szCs w:val="22"/>
          <w:lang w:eastAsia="en-US"/>
        </w:rPr>
        <w:t xml:space="preserve"> </w:t>
      </w:r>
      <w:r w:rsidRPr="001D0A7E">
        <w:rPr>
          <w:rFonts w:ascii="Verdana" w:hAnsi="Verdana"/>
          <w:sz w:val="22"/>
          <w:szCs w:val="22"/>
          <w:lang w:eastAsia="en-US"/>
        </w:rPr>
        <w:t xml:space="preserve">which has recruited &lt;5* patients. </w:t>
      </w:r>
    </w:p>
    <w:p w14:paraId="73DFB9C9" w14:textId="03A26809" w:rsidR="001D0A7E" w:rsidRPr="001D0A7E" w:rsidRDefault="001D0A7E" w:rsidP="005E0FEB">
      <w:pPr>
        <w:rPr>
          <w:rFonts w:ascii="Verdana" w:hAnsi="Verdana"/>
        </w:rPr>
      </w:pPr>
      <w:r w:rsidRPr="001D0A7E">
        <w:rPr>
          <w:rFonts w:ascii="Verdana" w:hAnsi="Verdana"/>
          <w:sz w:val="22"/>
          <w:szCs w:val="22"/>
          <w:lang w:eastAsia="en-US"/>
        </w:rPr>
        <w:t xml:space="preserve">This is a non-commercial study. </w:t>
      </w:r>
    </w:p>
    <w:tbl>
      <w:tblPr>
        <w:tblW w:w="0" w:type="auto"/>
        <w:tblInd w:w="-108" w:type="dxa"/>
        <w:tblCellMar>
          <w:left w:w="0" w:type="dxa"/>
          <w:right w:w="0" w:type="dxa"/>
        </w:tblCellMar>
        <w:tblLook w:val="04A0" w:firstRow="1" w:lastRow="0" w:firstColumn="1" w:lastColumn="0" w:noHBand="0" w:noVBand="1"/>
      </w:tblPr>
      <w:tblGrid>
        <w:gridCol w:w="222"/>
      </w:tblGrid>
      <w:tr w:rsidR="001D0A7E" w14:paraId="0B831875" w14:textId="77777777" w:rsidTr="001D0A7E">
        <w:trPr>
          <w:trHeight w:val="311"/>
        </w:trPr>
        <w:tc>
          <w:tcPr>
            <w:tcW w:w="0" w:type="auto"/>
            <w:tcMar>
              <w:top w:w="0" w:type="dxa"/>
              <w:left w:w="108" w:type="dxa"/>
              <w:bottom w:w="0" w:type="dxa"/>
              <w:right w:w="108" w:type="dxa"/>
            </w:tcMar>
            <w:hideMark/>
          </w:tcPr>
          <w:p w14:paraId="68E7465C" w14:textId="070234D6" w:rsidR="001D0A7E" w:rsidRDefault="001D0A7E">
            <w:pPr>
              <w:rPr>
                <w:rFonts w:ascii="Calibri" w:hAnsi="Calibri"/>
                <w:sz w:val="22"/>
                <w:szCs w:val="22"/>
                <w:lang w:eastAsia="en-US"/>
              </w:rPr>
            </w:pPr>
          </w:p>
        </w:tc>
      </w:tr>
    </w:tbl>
    <w:p w14:paraId="3F4DFC99" w14:textId="47401396" w:rsidR="001D0A7E" w:rsidRPr="007F3298" w:rsidRDefault="007F3298" w:rsidP="007F3298">
      <w:pPr>
        <w:jc w:val="both"/>
        <w:rPr>
          <w:rFonts w:ascii="Verdana" w:eastAsiaTheme="minorHAnsi" w:hAnsi="Verdana" w:cs="Calibri"/>
          <w:sz w:val="22"/>
          <w:szCs w:val="22"/>
          <w:lang w:eastAsia="en-US"/>
        </w:rPr>
      </w:pPr>
      <w:r>
        <w:rPr>
          <w:rFonts w:ascii="Verdana" w:eastAsiaTheme="minorHAnsi" w:hAnsi="Verdana" w:cs="Calibri"/>
          <w:sz w:val="22"/>
          <w:szCs w:val="22"/>
          <w:lang w:eastAsia="en-US"/>
        </w:rPr>
        <w:t>*</w:t>
      </w:r>
      <w:r w:rsidRPr="007F3298">
        <w:rPr>
          <w:rFonts w:ascii="Verdana" w:eastAsiaTheme="minorHAnsi" w:hAnsi="Verdana" w:cs="Calibri"/>
          <w:sz w:val="22"/>
          <w:szCs w:val="22"/>
          <w:lang w:eastAsia="en-US"/>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w:t>
      </w:r>
      <w:proofErr w:type="gramStart"/>
      <w:r w:rsidRPr="007F3298">
        <w:rPr>
          <w:rFonts w:ascii="Verdana" w:eastAsiaTheme="minorHAnsi" w:hAnsi="Verdana" w:cs="Calibri"/>
          <w:sz w:val="22"/>
          <w:szCs w:val="22"/>
          <w:lang w:eastAsia="en-US"/>
        </w:rPr>
        <w:t>2018</w:t>
      </w:r>
      <w:proofErr w:type="gramEnd"/>
      <w:r w:rsidRPr="007F3298">
        <w:rPr>
          <w:rFonts w:ascii="Verdana" w:eastAsiaTheme="minorHAnsi" w:hAnsi="Verdana" w:cs="Calibri"/>
          <w:sz w:val="22"/>
          <w:szCs w:val="22"/>
          <w:lang w:eastAsia="en-US"/>
        </w:rPr>
        <w:t xml:space="preserve">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2DE046FC" w14:textId="77777777" w:rsidR="001D0A7E" w:rsidRDefault="001D0A7E" w:rsidP="007F3298">
      <w:pPr>
        <w:jc w:val="both"/>
        <w:rPr>
          <w:rFonts w:ascii="Calibri" w:hAnsi="Calibri"/>
          <w:sz w:val="22"/>
          <w:szCs w:val="22"/>
          <w:lang w:eastAsia="en-US"/>
        </w:rPr>
      </w:pPr>
    </w:p>
    <w:p w14:paraId="2178A95B" w14:textId="77777777" w:rsidR="00873328" w:rsidRPr="001D0A7E" w:rsidRDefault="00873328" w:rsidP="00421E7F">
      <w:pPr>
        <w:rPr>
          <w:rFonts w:ascii="Verdana" w:hAnsi="Verdana"/>
          <w:b/>
          <w:bCs/>
          <w:noProof/>
          <w:sz w:val="22"/>
          <w:szCs w:val="22"/>
        </w:rPr>
      </w:pPr>
    </w:p>
    <w:p w14:paraId="75970B72" w14:textId="4BC3614D" w:rsidR="00A10460" w:rsidRPr="001D0A7E" w:rsidRDefault="00421E7F" w:rsidP="00421E7F">
      <w:pPr>
        <w:rPr>
          <w:rFonts w:ascii="Verdana" w:hAnsi="Verdana"/>
          <w:b/>
          <w:bCs/>
          <w:noProof/>
          <w:sz w:val="22"/>
          <w:szCs w:val="22"/>
        </w:rPr>
      </w:pPr>
      <w:r w:rsidRPr="001D0A7E">
        <w:rPr>
          <w:rFonts w:ascii="Verdana" w:hAnsi="Verdana"/>
          <w:b/>
          <w:bCs/>
          <w:noProof/>
          <w:sz w:val="22"/>
          <w:szCs w:val="22"/>
        </w:rPr>
        <w:br/>
        <w:t xml:space="preserve">_____________________________________________________________ </w:t>
      </w:r>
    </w:p>
    <w:p w14:paraId="3E9F07F4" w14:textId="2C961C09" w:rsidR="00421E7F" w:rsidRPr="001D0A7E" w:rsidRDefault="00421E7F" w:rsidP="002677FD">
      <w:pPr>
        <w:rPr>
          <w:rFonts w:ascii="Verdana" w:hAnsi="Verdana"/>
          <w:b/>
          <w:bCs/>
          <w:noProof/>
          <w:sz w:val="22"/>
          <w:szCs w:val="22"/>
        </w:rPr>
      </w:pPr>
    </w:p>
    <w:sectPr w:rsidR="00421E7F" w:rsidRPr="001D0A7E"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3EBA7A" w14:textId="77777777" w:rsidR="00BD32EB" w:rsidRDefault="00BD32EB" w:rsidP="00BD32EB">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08EA60AA" wp14:editId="228B1554">
          <wp:simplePos x="0" y="0"/>
          <wp:positionH relativeFrom="column">
            <wp:posOffset>5469890</wp:posOffset>
          </wp:positionH>
          <wp:positionV relativeFrom="paragraph">
            <wp:posOffset>-330200</wp:posOffset>
          </wp:positionV>
          <wp:extent cx="2216110" cy="1270886"/>
          <wp:effectExtent l="0" t="0" r="0" b="0"/>
          <wp:wrapNone/>
          <wp:docPr id="125100019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45848B8C" w14:textId="77777777" w:rsidR="00BD32EB" w:rsidRPr="002B2CF6" w:rsidRDefault="00BD32EB" w:rsidP="00BD32EB">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15A49180" w14:textId="59FB2EC9" w:rsidR="00795AD1" w:rsidRPr="00111757" w:rsidRDefault="00111757"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656EA6A7"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2" type="#_x0000_t75" style="width:21pt;height:21pt;visibility:visible" o:bullet="t">
        <v:imagedata r:id="rId1" o:title=""/>
      </v:shape>
    </w:pict>
  </w:numPicBullet>
  <w:numPicBullet w:numPicBulletId="1">
    <w:pict>
      <v:shape id="_x0000_i1123" type="#_x0000_t75" style="width:384pt;height:384pt;visibility:visible" o:bullet="t">
        <v:imagedata r:id="rId2" o:title=""/>
      </v:shape>
    </w:pict>
  </w:numPicBullet>
  <w:numPicBullet w:numPicBulletId="2">
    <w:pict>
      <v:shape id="_x0000_i1124" type="#_x0000_t75" style="width:225pt;height:225pt;visibility:visible" o:bullet="t">
        <v:imagedata r:id="rId3" o:title=""/>
      </v:shape>
    </w:pict>
  </w:numPicBullet>
  <w:numPicBullet w:numPicBulletId="3">
    <w:pict>
      <v:shape id="_x0000_i1125" type="#_x0000_t75" style="width:16pt;height:16pt;visibility:visibl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40753985">
    <w:abstractNumId w:val="13"/>
  </w:num>
  <w:num w:numId="2" w16cid:durableId="2138067706">
    <w:abstractNumId w:val="0"/>
  </w:num>
  <w:num w:numId="3" w16cid:durableId="1673534173">
    <w:abstractNumId w:val="8"/>
  </w:num>
  <w:num w:numId="4" w16cid:durableId="159663276">
    <w:abstractNumId w:val="15"/>
  </w:num>
  <w:num w:numId="5" w16cid:durableId="1221557144">
    <w:abstractNumId w:val="4"/>
  </w:num>
  <w:num w:numId="6" w16cid:durableId="118229437">
    <w:abstractNumId w:val="3"/>
  </w:num>
  <w:num w:numId="7" w16cid:durableId="2145929536">
    <w:abstractNumId w:val="10"/>
  </w:num>
  <w:num w:numId="8" w16cid:durableId="1121150493">
    <w:abstractNumId w:val="14"/>
  </w:num>
  <w:num w:numId="9" w16cid:durableId="853766037">
    <w:abstractNumId w:val="17"/>
  </w:num>
  <w:num w:numId="10" w16cid:durableId="1508014574">
    <w:abstractNumId w:val="1"/>
  </w:num>
  <w:num w:numId="11" w16cid:durableId="203324971">
    <w:abstractNumId w:val="9"/>
  </w:num>
  <w:num w:numId="12" w16cid:durableId="1774739529">
    <w:abstractNumId w:val="12"/>
  </w:num>
  <w:num w:numId="13" w16cid:durableId="381292323">
    <w:abstractNumId w:val="16"/>
  </w:num>
  <w:num w:numId="14" w16cid:durableId="115205846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16091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21361183">
    <w:abstractNumId w:val="11"/>
  </w:num>
  <w:num w:numId="17" w16cid:durableId="1651863046">
    <w:abstractNumId w:val="5"/>
  </w:num>
  <w:num w:numId="18" w16cid:durableId="7840833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D0A7E"/>
    <w:rsid w:val="001E2D50"/>
    <w:rsid w:val="00213076"/>
    <w:rsid w:val="002156AF"/>
    <w:rsid w:val="00236F74"/>
    <w:rsid w:val="00257A6E"/>
    <w:rsid w:val="002677FD"/>
    <w:rsid w:val="00286642"/>
    <w:rsid w:val="00296FDA"/>
    <w:rsid w:val="002B74C8"/>
    <w:rsid w:val="002C252B"/>
    <w:rsid w:val="002D32B6"/>
    <w:rsid w:val="002E02A9"/>
    <w:rsid w:val="002E3BA6"/>
    <w:rsid w:val="00304A21"/>
    <w:rsid w:val="0035435D"/>
    <w:rsid w:val="00355B9A"/>
    <w:rsid w:val="003648A8"/>
    <w:rsid w:val="0039422D"/>
    <w:rsid w:val="003B09B5"/>
    <w:rsid w:val="003F2312"/>
    <w:rsid w:val="004039EB"/>
    <w:rsid w:val="00421E7F"/>
    <w:rsid w:val="00442A3A"/>
    <w:rsid w:val="00453C57"/>
    <w:rsid w:val="0048724F"/>
    <w:rsid w:val="004B7A5C"/>
    <w:rsid w:val="004C59CA"/>
    <w:rsid w:val="004C7B47"/>
    <w:rsid w:val="004E1954"/>
    <w:rsid w:val="004F1E5A"/>
    <w:rsid w:val="004F4D32"/>
    <w:rsid w:val="005317D4"/>
    <w:rsid w:val="00534D7A"/>
    <w:rsid w:val="00553E1D"/>
    <w:rsid w:val="005925B8"/>
    <w:rsid w:val="0059485C"/>
    <w:rsid w:val="005E0FEB"/>
    <w:rsid w:val="005E16D2"/>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7F3298"/>
    <w:rsid w:val="00824D19"/>
    <w:rsid w:val="008352C1"/>
    <w:rsid w:val="00846C1D"/>
    <w:rsid w:val="00873328"/>
    <w:rsid w:val="00885F20"/>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D32EB"/>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DF7B0B"/>
    <w:rsid w:val="00E077B0"/>
    <w:rsid w:val="00E11F2D"/>
    <w:rsid w:val="00E26720"/>
    <w:rsid w:val="00E545D8"/>
    <w:rsid w:val="00E817B3"/>
    <w:rsid w:val="00E90BC7"/>
    <w:rsid w:val="00EE0615"/>
    <w:rsid w:val="00F26B29"/>
    <w:rsid w:val="00F91A7E"/>
    <w:rsid w:val="00F96598"/>
    <w:rsid w:val="00FA0C91"/>
    <w:rsid w:val="00FA177F"/>
    <w:rsid w:val="00FB1E56"/>
    <w:rsid w:val="00FC326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D11366FE-EE82-4EBB-A8C1-5D48D33DD8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Default">
    <w:name w:val="Default"/>
    <w:basedOn w:val="Normal"/>
    <w:rsid w:val="001D0A7E"/>
    <w:pPr>
      <w:autoSpaceDE w:val="0"/>
      <w:autoSpaceDN w:val="0"/>
      <w:spacing w:before="0" w:after="0" w:line="240" w:lineRule="auto"/>
      <w:ind w:left="0" w:right="0"/>
    </w:pPr>
    <w:rPr>
      <w:rFonts w:ascii="Calibri" w:eastAsiaTheme="minorHAns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880765">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5256527">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TotalTime>
  <Pages>3</Pages>
  <Words>657</Words>
  <Characters>3746</Characters>
  <Application>Microsoft Office Word</Application>
  <DocSecurity>4</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cp:revision>
  <cp:lastPrinted>2019-03-26T11:11:00Z</cp:lastPrinted>
  <dcterms:created xsi:type="dcterms:W3CDTF">2024-08-13T10:11:00Z</dcterms:created>
  <dcterms:modified xsi:type="dcterms:W3CDTF">2024-08-13T10:11:00Z</dcterms:modified>
</cp:coreProperties>
</file>