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4E149F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62E1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4E149F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62E1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595CD6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33FF46D" w14:textId="77777777" w:rsidR="00062E15" w:rsidRPr="00062E15" w:rsidRDefault="00062E15" w:rsidP="00062E15">
      <w:pPr>
        <w:pStyle w:val="PlainText"/>
        <w:ind w:left="505"/>
        <w:rPr>
          <w:rFonts w:ascii="Verdana" w:hAnsi="Verdana"/>
          <w:b/>
          <w:bCs/>
        </w:rPr>
      </w:pPr>
      <w:r w:rsidRPr="00062E15">
        <w:rPr>
          <w:rFonts w:ascii="Verdana" w:hAnsi="Verdana"/>
          <w:b/>
          <w:bCs/>
        </w:rPr>
        <w:t>In 2023, of all the patients receiving enoxaparin, how many of them followed the posology of receiving injections once a day? And how many received injections twice a day?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23A58787" w:rsidR="00A10460" w:rsidRDefault="00062E15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Swansea Bay University Health Board does not hold/record this information.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71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7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71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71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2E15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62E15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62E15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2024-07-26T15:32:00Z</dcterms:modified>
</cp:coreProperties>
</file>