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619444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5708A">
                              <w:rPr>
                                <w:rFonts w:ascii="Verdana" w:hAnsi="Verdana"/>
                                <w:b/>
                                <w:sz w:val="22"/>
                                <w:szCs w:val="22"/>
                              </w:rPr>
                              <w:t>24-G-024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619444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5708A">
                        <w:rPr>
                          <w:rFonts w:ascii="Verdana" w:hAnsi="Verdana"/>
                          <w:b/>
                          <w:sz w:val="22"/>
                          <w:szCs w:val="22"/>
                        </w:rPr>
                        <w:t>24-G-024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1D30F64" w:rsidR="00DC0D5A" w:rsidRDefault="00A10460" w:rsidP="00DC0D5A">
      <w:pPr>
        <w:spacing w:before="280"/>
        <w:rPr>
          <w:rFonts w:ascii="Verdana" w:hAnsi="Verdana"/>
          <w:b/>
          <w:sz w:val="22"/>
        </w:rPr>
      </w:pPr>
      <w:r w:rsidRPr="00A10460">
        <w:rPr>
          <w:rFonts w:ascii="Verdana" w:hAnsi="Verdana"/>
          <w:b/>
          <w:sz w:val="22"/>
        </w:rPr>
        <w:t>You asked:</w:t>
      </w:r>
    </w:p>
    <w:p w14:paraId="28EE6150" w14:textId="58040294" w:rsidR="00BA2464" w:rsidRDefault="00BA2464" w:rsidP="00BA2464">
      <w:pPr>
        <w:spacing w:after="0"/>
        <w:rPr>
          <w:rFonts w:ascii="Verdana" w:hAnsi="Verdana"/>
          <w:b/>
          <w:bCs/>
          <w:sz w:val="22"/>
          <w:szCs w:val="22"/>
        </w:rPr>
      </w:pPr>
      <w:r w:rsidRPr="00BA2464">
        <w:rPr>
          <w:rFonts w:ascii="Verdana" w:hAnsi="Verdana"/>
          <w:b/>
          <w:bCs/>
          <w:sz w:val="22"/>
          <w:szCs w:val="22"/>
        </w:rPr>
        <w:t>Q1. Do you treat patients for Urothelial cancer (Yes or No)?  If No, where do you refer patients for treatment</w:t>
      </w:r>
    </w:p>
    <w:p w14:paraId="5C17F3FB" w14:textId="3C465E81" w:rsidR="00BA2464" w:rsidRPr="00BA2464" w:rsidRDefault="00BA2464" w:rsidP="00BA2464">
      <w:pPr>
        <w:spacing w:after="0"/>
        <w:rPr>
          <w:rFonts w:ascii="Verdana" w:hAnsi="Verdana"/>
          <w:b/>
          <w:bCs/>
          <w:sz w:val="22"/>
          <w:szCs w:val="22"/>
        </w:rPr>
      </w:pPr>
      <w:r>
        <w:rPr>
          <w:rFonts w:ascii="Verdana" w:hAnsi="Verdana"/>
          <w:sz w:val="22"/>
          <w:szCs w:val="22"/>
        </w:rPr>
        <w:t>Yes</w:t>
      </w:r>
    </w:p>
    <w:p w14:paraId="1DF7CDAF" w14:textId="73EED5E3" w:rsidR="00BA2464" w:rsidRPr="00BA2464" w:rsidRDefault="00BA2464" w:rsidP="00BA2464">
      <w:pPr>
        <w:spacing w:after="0"/>
        <w:rPr>
          <w:rFonts w:ascii="Verdana" w:hAnsi="Verdana"/>
          <w:b/>
          <w:bCs/>
          <w:sz w:val="22"/>
          <w:szCs w:val="22"/>
          <w:lang w:val="en-US"/>
        </w:rPr>
      </w:pPr>
      <w:r w:rsidRPr="00BA2464">
        <w:rPr>
          <w:rFonts w:ascii="Verdana" w:hAnsi="Verdana"/>
          <w:b/>
          <w:bCs/>
          <w:sz w:val="22"/>
          <w:szCs w:val="22"/>
        </w:rPr>
        <w:t>Q2. How many patients were treated for Urothelial cancer (any stage) in the past 3 months</w:t>
      </w:r>
      <w:r>
        <w:rPr>
          <w:rFonts w:ascii="Verdana" w:hAnsi="Verdana"/>
          <w:b/>
          <w:bCs/>
          <w:sz w:val="22"/>
          <w:szCs w:val="22"/>
        </w:rPr>
        <w:t xml:space="preserve"> (April to June 2024)</w:t>
      </w:r>
      <w:r w:rsidRPr="00BA2464">
        <w:rPr>
          <w:rFonts w:ascii="Verdana" w:hAnsi="Verdana"/>
          <w:b/>
          <w:bCs/>
          <w:sz w:val="22"/>
          <w:szCs w:val="22"/>
        </w:rPr>
        <w:t xml:space="preserve"> with the following treatments:</w:t>
      </w:r>
    </w:p>
    <w:p w14:paraId="469A82D3" w14:textId="77777777" w:rsidR="00BA2464" w:rsidRPr="00BA2464" w:rsidRDefault="00BA2464" w:rsidP="00BA2464">
      <w:pPr>
        <w:spacing w:after="0"/>
        <w:rPr>
          <w:rFonts w:ascii="Verdana" w:hAnsi="Verdana"/>
          <w:b/>
          <w:bCs/>
          <w:sz w:val="22"/>
          <w:szCs w:val="22"/>
        </w:rPr>
      </w:pPr>
    </w:p>
    <w:p w14:paraId="3099A0BC" w14:textId="761F5D1E"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Atezolizumab (</w:t>
      </w:r>
      <w:proofErr w:type="spellStart"/>
      <w:r w:rsidRPr="00BA2464">
        <w:rPr>
          <w:rFonts w:ascii="Verdana" w:hAnsi="Verdana"/>
          <w:b/>
          <w:bCs/>
          <w:sz w:val="22"/>
          <w:szCs w:val="22"/>
        </w:rPr>
        <w:t>Tecentriq</w:t>
      </w:r>
      <w:proofErr w:type="spellEnd"/>
      <w:r w:rsidRPr="00BA2464">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12</w:t>
      </w:r>
    </w:p>
    <w:p w14:paraId="10B81C19" w14:textId="7BC8C133"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Avelumab (Bavencio)</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021AAFB8" w14:textId="5A659D1C"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Carboplatin single agent or in any other combination</w:t>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54D3E801" w14:textId="1A5CB990"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Carboplatin with Gemcitabine</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sidRPr="00BA2464">
        <w:rPr>
          <w:rFonts w:ascii="Verdana" w:hAnsi="Verdana"/>
          <w:sz w:val="22"/>
          <w:szCs w:val="22"/>
        </w:rPr>
        <w:t>&lt;5*</w:t>
      </w:r>
    </w:p>
    <w:p w14:paraId="6078571D" w14:textId="56A92A13"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Carboplatin with Paclitaxel</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 xml:space="preserve">Nil </w:t>
      </w:r>
    </w:p>
    <w:p w14:paraId="03B2E1D5" w14:textId="3564E158"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Cisplatin single agent or in any other combination</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008E6A3F" w14:textId="188FBC95"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Cisplatin with Gemcitabine</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sidRPr="00BA2464">
        <w:rPr>
          <w:rFonts w:ascii="Verdana" w:hAnsi="Verdana"/>
          <w:sz w:val="22"/>
          <w:szCs w:val="22"/>
        </w:rPr>
        <w:t>&lt;5*</w:t>
      </w:r>
    </w:p>
    <w:p w14:paraId="728E9966" w14:textId="5FC78888"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Cisplatin with Gemcitabine + Nivolumab (</w:t>
      </w:r>
      <w:proofErr w:type="spellStart"/>
      <w:r w:rsidRPr="00BA2464">
        <w:rPr>
          <w:rFonts w:ascii="Verdana" w:hAnsi="Verdana"/>
          <w:b/>
          <w:bCs/>
          <w:sz w:val="22"/>
          <w:szCs w:val="22"/>
        </w:rPr>
        <w:t>Opdivo</w:t>
      </w:r>
      <w:proofErr w:type="spellEnd"/>
      <w:r w:rsidRPr="00BA2464">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 xml:space="preserve">Nil </w:t>
      </w:r>
    </w:p>
    <w:p w14:paraId="639FC5D4" w14:textId="3E98EF1F"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proofErr w:type="spellStart"/>
      <w:r w:rsidRPr="00BA2464">
        <w:rPr>
          <w:rFonts w:ascii="Verdana" w:hAnsi="Verdana"/>
          <w:b/>
          <w:bCs/>
          <w:sz w:val="22"/>
          <w:szCs w:val="22"/>
        </w:rPr>
        <w:t>Enfortumab</w:t>
      </w:r>
      <w:proofErr w:type="spellEnd"/>
      <w:r w:rsidRPr="00BA2464">
        <w:rPr>
          <w:rFonts w:ascii="Verdana" w:hAnsi="Verdana"/>
          <w:b/>
          <w:bCs/>
          <w:sz w:val="22"/>
          <w:szCs w:val="22"/>
        </w:rPr>
        <w:t xml:space="preserve"> </w:t>
      </w:r>
      <w:proofErr w:type="spellStart"/>
      <w:r w:rsidRPr="00BA2464">
        <w:rPr>
          <w:rFonts w:ascii="Verdana" w:hAnsi="Verdana"/>
          <w:b/>
          <w:bCs/>
          <w:sz w:val="22"/>
          <w:szCs w:val="22"/>
        </w:rPr>
        <w:t>Vedotin</w:t>
      </w:r>
      <w:proofErr w:type="spellEnd"/>
      <w:r w:rsidRPr="00BA2464">
        <w:rPr>
          <w:rFonts w:ascii="Verdana" w:hAnsi="Verdana"/>
          <w:b/>
          <w:bCs/>
          <w:sz w:val="22"/>
          <w:szCs w:val="22"/>
        </w:rPr>
        <w:t xml:space="preserve"> + Pembrolizumab (</w:t>
      </w:r>
      <w:proofErr w:type="spellStart"/>
      <w:r w:rsidRPr="00BA2464">
        <w:rPr>
          <w:rFonts w:ascii="Verdana" w:hAnsi="Verdana"/>
          <w:b/>
          <w:bCs/>
          <w:sz w:val="22"/>
          <w:szCs w:val="22"/>
        </w:rPr>
        <w:t>Padcev</w:t>
      </w:r>
      <w:proofErr w:type="spellEnd"/>
      <w:r w:rsidRPr="00BA2464">
        <w:rPr>
          <w:rFonts w:ascii="Verdana" w:hAnsi="Verdana"/>
          <w:b/>
          <w:bCs/>
          <w:sz w:val="22"/>
          <w:szCs w:val="22"/>
        </w:rPr>
        <w:t xml:space="preserve"> + Keytruda)</w:t>
      </w:r>
      <w:r>
        <w:rPr>
          <w:rFonts w:ascii="Verdana" w:hAnsi="Verdana"/>
          <w:b/>
          <w:bCs/>
          <w:sz w:val="22"/>
          <w:szCs w:val="22"/>
        </w:rPr>
        <w:tab/>
      </w:r>
      <w:r>
        <w:rPr>
          <w:rFonts w:ascii="Verdana" w:hAnsi="Verdana"/>
          <w:sz w:val="22"/>
          <w:szCs w:val="22"/>
        </w:rPr>
        <w:t xml:space="preserve">Nil </w:t>
      </w:r>
    </w:p>
    <w:p w14:paraId="0375516D" w14:textId="7DF20911"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Nivolumab (</w:t>
      </w:r>
      <w:proofErr w:type="spellStart"/>
      <w:r w:rsidRPr="00BA2464">
        <w:rPr>
          <w:rFonts w:ascii="Verdana" w:hAnsi="Verdana"/>
          <w:b/>
          <w:bCs/>
          <w:sz w:val="22"/>
          <w:szCs w:val="22"/>
        </w:rPr>
        <w:t>Opdivo</w:t>
      </w:r>
      <w:proofErr w:type="spellEnd"/>
      <w:r w:rsidRPr="00BA2464">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46C17C4B" w14:textId="69B6E665"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Pembrolizumab (Keytruda)</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07CA1DD8" w14:textId="09577963"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Other active systemic anti-cancer 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sidRPr="00BA2464">
        <w:rPr>
          <w:rFonts w:ascii="Verdana" w:hAnsi="Verdana"/>
          <w:sz w:val="22"/>
          <w:szCs w:val="22"/>
        </w:rPr>
        <w:t>&lt;5*</w:t>
      </w:r>
    </w:p>
    <w:p w14:paraId="6FE79DB7" w14:textId="69AC2D3E" w:rsidR="00BA2464" w:rsidRPr="00BA2464" w:rsidRDefault="00BA2464" w:rsidP="00BA2464">
      <w:pPr>
        <w:pStyle w:val="ListParagraph"/>
        <w:numPr>
          <w:ilvl w:val="0"/>
          <w:numId w:val="19"/>
        </w:numPr>
        <w:spacing w:before="0" w:after="0" w:line="254" w:lineRule="auto"/>
        <w:ind w:right="0"/>
        <w:rPr>
          <w:rFonts w:ascii="Verdana" w:hAnsi="Verdana"/>
          <w:b/>
          <w:bCs/>
          <w:sz w:val="22"/>
          <w:szCs w:val="22"/>
          <w:lang w:val="en-US"/>
        </w:rPr>
      </w:pPr>
      <w:r w:rsidRPr="00BA2464">
        <w:rPr>
          <w:rFonts w:ascii="Verdana" w:hAnsi="Verdana"/>
          <w:b/>
          <w:bCs/>
          <w:sz w:val="22"/>
          <w:szCs w:val="22"/>
        </w:rPr>
        <w:t>Palliative care only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w:t>
      </w:r>
    </w:p>
    <w:p w14:paraId="239A62CE" w14:textId="77777777" w:rsidR="00BA2464" w:rsidRPr="00BA2464" w:rsidRDefault="00BA2464" w:rsidP="00BA2464">
      <w:pPr>
        <w:spacing w:after="0"/>
        <w:ind w:left="360"/>
        <w:rPr>
          <w:rFonts w:ascii="Verdana" w:hAnsi="Verdana"/>
          <w:b/>
          <w:bCs/>
          <w:sz w:val="22"/>
          <w:szCs w:val="22"/>
        </w:rPr>
      </w:pPr>
    </w:p>
    <w:p w14:paraId="74CD2CE9" w14:textId="30B5B936" w:rsidR="00BA2464" w:rsidRPr="00BA2464" w:rsidRDefault="00BA2464" w:rsidP="00BA2464">
      <w:pPr>
        <w:spacing w:after="0"/>
        <w:rPr>
          <w:rFonts w:ascii="Verdana" w:hAnsi="Verdana"/>
          <w:b/>
          <w:bCs/>
          <w:sz w:val="22"/>
          <w:szCs w:val="22"/>
          <w:lang w:val="en-US"/>
        </w:rPr>
      </w:pPr>
      <w:r w:rsidRPr="00BA2464">
        <w:rPr>
          <w:rFonts w:ascii="Verdana" w:hAnsi="Verdana"/>
          <w:b/>
          <w:bCs/>
          <w:sz w:val="22"/>
          <w:szCs w:val="22"/>
        </w:rPr>
        <w:t xml:space="preserve">Q3. Does your </w:t>
      </w:r>
      <w:r>
        <w:rPr>
          <w:rFonts w:ascii="Verdana" w:hAnsi="Verdana"/>
          <w:b/>
          <w:bCs/>
          <w:sz w:val="22"/>
          <w:szCs w:val="22"/>
        </w:rPr>
        <w:t xml:space="preserve">health board </w:t>
      </w:r>
      <w:r w:rsidRPr="00BA2464">
        <w:rPr>
          <w:rFonts w:ascii="Verdana" w:hAnsi="Verdana"/>
          <w:b/>
          <w:bCs/>
          <w:sz w:val="22"/>
          <w:szCs w:val="22"/>
        </w:rPr>
        <w:t>participate in any ongoing clinical trials for the treatment of urothelial cancer? If so, can you please provide the name of each trial along with the number of patients taking part?</w:t>
      </w:r>
    </w:p>
    <w:p w14:paraId="7E40C9B2" w14:textId="2DFCD855" w:rsidR="00BA2464" w:rsidRPr="00BA2464" w:rsidRDefault="00BA2464" w:rsidP="00BA2464">
      <w:pPr>
        <w:spacing w:after="0"/>
        <w:rPr>
          <w:rFonts w:ascii="Verdana" w:hAnsi="Verdana"/>
          <w:sz w:val="22"/>
          <w:szCs w:val="22"/>
        </w:rPr>
      </w:pPr>
      <w:r>
        <w:rPr>
          <w:rFonts w:ascii="Verdana" w:hAnsi="Verdana"/>
          <w:sz w:val="22"/>
          <w:szCs w:val="22"/>
        </w:rPr>
        <w:t>Swansea Bay University Health Board do not currently have any open clinical trials for the treatment of urothelial cancer.</w:t>
      </w:r>
    </w:p>
    <w:p w14:paraId="1686B6F7" w14:textId="52A5713C" w:rsidR="00BA2464" w:rsidRPr="00BA2464" w:rsidRDefault="00BA2464" w:rsidP="00BA2464">
      <w:pPr>
        <w:spacing w:after="0"/>
        <w:rPr>
          <w:rFonts w:ascii="Verdana" w:hAnsi="Verdana"/>
          <w:b/>
          <w:bCs/>
          <w:sz w:val="22"/>
          <w:szCs w:val="22"/>
          <w:lang w:val="en-US"/>
        </w:rPr>
      </w:pPr>
      <w:r w:rsidRPr="00BA2464">
        <w:rPr>
          <w:rFonts w:ascii="Verdana" w:hAnsi="Verdana"/>
          <w:b/>
          <w:bCs/>
          <w:sz w:val="22"/>
          <w:szCs w:val="22"/>
        </w:rPr>
        <w:t xml:space="preserve">Q4. How many early-stage (non-metastatic or Stages 1-3) non-small cell lung cancer (NSCLC) patients were treated in the past 3 months </w:t>
      </w:r>
      <w:r>
        <w:rPr>
          <w:rFonts w:ascii="Verdana" w:hAnsi="Verdana"/>
          <w:b/>
          <w:bCs/>
          <w:sz w:val="22"/>
          <w:szCs w:val="22"/>
        </w:rPr>
        <w:t xml:space="preserve">(April to June 2024) </w:t>
      </w:r>
      <w:r w:rsidRPr="00BA2464">
        <w:rPr>
          <w:rFonts w:ascii="Verdana" w:hAnsi="Verdana"/>
          <w:b/>
          <w:bCs/>
          <w:sz w:val="22"/>
          <w:szCs w:val="22"/>
        </w:rPr>
        <w:t>with:</w:t>
      </w:r>
    </w:p>
    <w:p w14:paraId="4925DA9A" w14:textId="77777777" w:rsidR="00BA2464" w:rsidRPr="00BA2464" w:rsidRDefault="00BA2464" w:rsidP="00BA2464">
      <w:pPr>
        <w:spacing w:after="0"/>
        <w:rPr>
          <w:rFonts w:ascii="Verdana" w:hAnsi="Verdana"/>
          <w:b/>
          <w:bCs/>
          <w:sz w:val="22"/>
          <w:szCs w:val="22"/>
        </w:rPr>
      </w:pPr>
    </w:p>
    <w:p w14:paraId="4C401A9D" w14:textId="65690FB6"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t>Atezolizumab (</w:t>
      </w:r>
      <w:proofErr w:type="spellStart"/>
      <w:r w:rsidRPr="00BA2464">
        <w:rPr>
          <w:rFonts w:ascii="Verdana" w:hAnsi="Verdana"/>
          <w:b/>
          <w:bCs/>
          <w:sz w:val="22"/>
          <w:szCs w:val="22"/>
        </w:rPr>
        <w:t>Tecentriq</w:t>
      </w:r>
      <w:proofErr w:type="spellEnd"/>
      <w:r w:rsidRPr="00BA2464">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5249DC9D" w14:textId="31AD4C46"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lastRenderedPageBreak/>
        <w:t>Durvalumab (Imfinzi)</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7</w:t>
      </w:r>
    </w:p>
    <w:p w14:paraId="76A15C3B" w14:textId="47BCE428"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t>Nivolumab (</w:t>
      </w:r>
      <w:proofErr w:type="spellStart"/>
      <w:r w:rsidRPr="00BA2464">
        <w:rPr>
          <w:rFonts w:ascii="Verdana" w:hAnsi="Verdana"/>
          <w:b/>
          <w:bCs/>
          <w:sz w:val="22"/>
          <w:szCs w:val="22"/>
        </w:rPr>
        <w:t>Opdivo</w:t>
      </w:r>
      <w:proofErr w:type="spellEnd"/>
      <w:r w:rsidRPr="00BA2464">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275C4489" w14:textId="3366541B"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t>Pembrolizumab (Keytruda)</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19BE146A" w14:textId="4C47EFD0"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t>Chemotherapy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12</w:t>
      </w:r>
    </w:p>
    <w:p w14:paraId="2C21D56A" w14:textId="39F966D5"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t>Radiotherapy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w:t>
      </w:r>
    </w:p>
    <w:p w14:paraId="2905121C" w14:textId="5F2FDDFC" w:rsidR="00BA2464" w:rsidRPr="00BA2464" w:rsidRDefault="00BA2464" w:rsidP="00BA2464">
      <w:pPr>
        <w:pStyle w:val="ListParagraph"/>
        <w:numPr>
          <w:ilvl w:val="0"/>
          <w:numId w:val="20"/>
        </w:numPr>
        <w:spacing w:before="0" w:after="0" w:line="254" w:lineRule="auto"/>
        <w:ind w:right="0"/>
        <w:rPr>
          <w:rFonts w:ascii="Verdana" w:hAnsi="Verdana"/>
          <w:b/>
          <w:bCs/>
          <w:sz w:val="22"/>
          <w:szCs w:val="22"/>
          <w:lang w:val="en-US"/>
        </w:rPr>
      </w:pPr>
      <w:r w:rsidRPr="00BA2464">
        <w:rPr>
          <w:rFonts w:ascii="Verdana" w:hAnsi="Verdana"/>
          <w:b/>
          <w:bCs/>
          <w:sz w:val="22"/>
          <w:szCs w:val="22"/>
        </w:rPr>
        <w:t>Chemotherapy AND Radiotherapy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39C1D820" w14:textId="77777777" w:rsidR="00BA2464" w:rsidRDefault="00BA2464" w:rsidP="00BA2464">
      <w:pPr>
        <w:rPr>
          <w:rFonts w:ascii="Verdana" w:hAnsi="Verdana" w:cs="Times New Roman"/>
          <w:sz w:val="22"/>
          <w:szCs w:val="22"/>
        </w:rPr>
      </w:pPr>
      <w:r>
        <w:rPr>
          <w:rFonts w:ascii="Verdana" w:hAnsi="Verdana"/>
          <w:sz w:val="22"/>
          <w:szCs w:val="22"/>
        </w:rPr>
        <w:t>*</w:t>
      </w:r>
      <w:r w:rsidRPr="00BA2464">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Pr>
          <w:rFonts w:ascii="Verdana" w:hAnsi="Verdana"/>
          <w:sz w:val="22"/>
          <w:szCs w:val="22"/>
        </w:rPr>
        <w:t xml:space="preserve">**This information is not held centrally but would be held in patient notes. To obtain this information would involve a manual trawl and search of records which </w:t>
      </w:r>
      <w:r>
        <w:rPr>
          <w:rFonts w:ascii="Verdana" w:hAnsi="Verdana" w:cs="Times New Roman"/>
          <w:sz w:val="22"/>
          <w:szCs w:val="22"/>
        </w:rPr>
        <w:t xml:space="preserve">we have estimated would significantly exceed the 18 hours limit set down by the FOI Act as the reasonable limit. </w:t>
      </w:r>
      <w:r>
        <w:rPr>
          <w:rFonts w:ascii="Verdana" w:hAnsi="Verdana" w:cs="Tahoma"/>
          <w:sz w:val="22"/>
          <w:szCs w:val="22"/>
        </w:rPr>
        <w:t>Section 12 of the FOI Act and T</w:t>
      </w:r>
      <w:r>
        <w:rPr>
          <w:rFonts w:ascii="Verdana" w:hAnsi="Verdana"/>
          <w:sz w:val="22"/>
          <w:szCs w:val="22"/>
        </w:rPr>
        <w:t xml:space="preserve">he Freedom of Information and Data Protection (Appropriate Limit and Fees) Regulation 2004 </w:t>
      </w:r>
      <w:r>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75970B72" w14:textId="4C2E3824"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988BB" w14:textId="77777777" w:rsidR="00BA2464" w:rsidRDefault="00BA2464" w:rsidP="00BA2464">
    <w:pPr>
      <w:pStyle w:val="Footer"/>
    </w:pPr>
  </w:p>
  <w:p w14:paraId="4FCF50D7" w14:textId="77777777" w:rsidR="00BA2464" w:rsidRDefault="00BA2464" w:rsidP="00BA2464">
    <w:pPr>
      <w:pStyle w:val="Footer"/>
    </w:pPr>
  </w:p>
  <w:p w14:paraId="5F5D18F4" w14:textId="77777777" w:rsidR="00BA2464" w:rsidRDefault="00BA2464" w:rsidP="00BA2464">
    <w:pPr>
      <w:pStyle w:val="Footer"/>
      <w:tabs>
        <w:tab w:val="clear" w:pos="4513"/>
        <w:tab w:val="clear" w:pos="9026"/>
        <w:tab w:val="center" w:pos="5233"/>
        <w:tab w:val="right" w:pos="10466"/>
      </w:tabs>
      <w:spacing w:before="0" w:after="40" w:line="240" w:lineRule="auto"/>
      <w:ind w:left="0" w:right="0"/>
      <w:rPr>
        <w:color w:val="1F355E"/>
        <w:sz w:val="14"/>
        <w:szCs w:val="14"/>
      </w:rPr>
    </w:pPr>
  </w:p>
  <w:p w14:paraId="1193221C" w14:textId="77777777" w:rsidR="00BA2464" w:rsidRDefault="00BA2464" w:rsidP="00BA246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3FE06EFD" wp14:editId="200EBD46">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54903B00" w14:textId="77777777" w:rsidR="00BA2464" w:rsidRPr="002B2CF6" w:rsidRDefault="00BA2464" w:rsidP="00BA246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3C345CFF" w14:textId="77777777" w:rsidR="00BA2464" w:rsidRDefault="00BA2464" w:rsidP="00BA2464">
    <w:pPr>
      <w:pStyle w:val="Footer"/>
    </w:pPr>
    <w:r>
      <w:tab/>
    </w:r>
    <w:r>
      <w:tab/>
    </w:r>
    <w:r>
      <w:tab/>
    </w:r>
    <w:r>
      <w:tab/>
    </w:r>
    <w:r>
      <w:tab/>
    </w:r>
  </w:p>
  <w:p w14:paraId="656EA6A7" w14:textId="77777777" w:rsidR="007D6A3E" w:rsidRPr="00BA2464" w:rsidRDefault="007D6A3E" w:rsidP="00BA24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bookmarkStart w:id="0" w:name="_Hlk172905418"/>
    <w:bookmarkStart w:id="1" w:name="_Hlk172905419"/>
    <w:bookmarkStart w:id="2" w:name="_Hlk172905420"/>
    <w:bookmarkStart w:id="3" w:name="_Hlk172905421"/>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4" w:name="_Hlk168407067"/>
    <w:bookmarkStart w:id="5"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4"/>
    <w:bookmarkEnd w:id="5"/>
  </w:p>
  <w:p w14:paraId="73827B55" w14:textId="4A9F659E" w:rsidR="00B73D24" w:rsidRDefault="00B73D24" w:rsidP="00B73D24">
    <w:pPr>
      <w:pStyle w:val="Footer"/>
    </w:pPr>
    <w:r>
      <w:tab/>
    </w:r>
    <w:r>
      <w:tab/>
    </w:r>
    <w:r>
      <w:tab/>
    </w:r>
    <w:r>
      <w:tab/>
    </w:r>
    <w:r>
      <w:tab/>
    </w:r>
    <w:bookmarkEnd w:id="0"/>
    <w:bookmarkEnd w:id="1"/>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34" type="#_x0000_t75" style="width:20.5pt;height:20.5pt;visibility:visible;mso-wrap-style:square" o:bullet="t">
        <v:imagedata r:id="rId1" o:title=""/>
      </v:shape>
    </w:pict>
  </w:numPicBullet>
  <w:numPicBullet w:numPicBulletId="1">
    <w:pict>
      <v:shape id="_x0000_i1935" type="#_x0000_t75" style="width:382.5pt;height:382.5pt;visibility:visible;mso-wrap-style:square" o:bullet="t">
        <v:imagedata r:id="rId2" o:title=""/>
      </v:shape>
    </w:pict>
  </w:numPicBullet>
  <w:numPicBullet w:numPicBulletId="2">
    <w:pict>
      <v:shape id="_x0000_i1936" type="#_x0000_t75" style="width:225.5pt;height:225.5pt;visibility:visible;mso-wrap-style:square" o:bullet="t">
        <v:imagedata r:id="rId3" o:title=""/>
      </v:shape>
    </w:pict>
  </w:numPicBullet>
  <w:numPicBullet w:numPicBulletId="3">
    <w:pict>
      <v:shape id="_x0000_i193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9C305B"/>
    <w:multiLevelType w:val="hybridMultilevel"/>
    <w:tmpl w:val="8AC2B7F6"/>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9A2BF5"/>
    <w:multiLevelType w:val="hybridMultilevel"/>
    <w:tmpl w:val="0568A1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2018846266">
    <w:abstractNumId w:val="14"/>
  </w:num>
  <w:num w:numId="2" w16cid:durableId="1777363230">
    <w:abstractNumId w:val="0"/>
  </w:num>
  <w:num w:numId="3" w16cid:durableId="378087785">
    <w:abstractNumId w:val="8"/>
  </w:num>
  <w:num w:numId="4" w16cid:durableId="138420818">
    <w:abstractNumId w:val="16"/>
  </w:num>
  <w:num w:numId="5" w16cid:durableId="878981121">
    <w:abstractNumId w:val="4"/>
  </w:num>
  <w:num w:numId="6" w16cid:durableId="2098015423">
    <w:abstractNumId w:val="3"/>
  </w:num>
  <w:num w:numId="7" w16cid:durableId="1912735551">
    <w:abstractNumId w:val="11"/>
  </w:num>
  <w:num w:numId="8" w16cid:durableId="20253277">
    <w:abstractNumId w:val="15"/>
  </w:num>
  <w:num w:numId="9" w16cid:durableId="925187790">
    <w:abstractNumId w:val="18"/>
  </w:num>
  <w:num w:numId="10" w16cid:durableId="1811166685">
    <w:abstractNumId w:val="1"/>
  </w:num>
  <w:num w:numId="11" w16cid:durableId="2039817610">
    <w:abstractNumId w:val="9"/>
  </w:num>
  <w:num w:numId="12" w16cid:durableId="170604351">
    <w:abstractNumId w:val="13"/>
  </w:num>
  <w:num w:numId="13" w16cid:durableId="1947302668">
    <w:abstractNumId w:val="17"/>
  </w:num>
  <w:num w:numId="14" w16cid:durableId="13630491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401205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71386245">
    <w:abstractNumId w:val="12"/>
  </w:num>
  <w:num w:numId="17" w16cid:durableId="1084837949">
    <w:abstractNumId w:val="5"/>
  </w:num>
  <w:num w:numId="18" w16cid:durableId="866672882">
    <w:abstractNumId w:val="2"/>
  </w:num>
  <w:num w:numId="19" w16cid:durableId="389109399">
    <w:abstractNumId w:val="19"/>
  </w:num>
  <w:num w:numId="20" w16cid:durableId="146847275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5708A"/>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5A1F"/>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2464"/>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775A1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00717085">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16662933">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F1A9C8-DF8C-46CA-9F09-05476F5F9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107</TotalTime>
  <Pages>2</Pages>
  <Words>478</Words>
  <Characters>2730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23</cp:revision>
  <cp:lastPrinted>2019-03-26T11:11:00Z</cp:lastPrinted>
  <dcterms:created xsi:type="dcterms:W3CDTF">2021-09-13T07:38:00Z</dcterms:created>
  <dcterms:modified xsi:type="dcterms:W3CDTF">2024-07-30T10:22:00Z</dcterms:modified>
</cp:coreProperties>
</file>