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9A3060E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3ED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24-F-008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9A3060E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3ED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24-F-008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88942C6" w14:textId="044F8172" w:rsidR="00993EDF" w:rsidRDefault="00A10460" w:rsidP="00993EDF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925994C" w14:textId="3BC2B6F5" w:rsidR="00993EDF" w:rsidRPr="00993EDF" w:rsidRDefault="00993EDF" w:rsidP="00993EDF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Please can we be provided with Swansea Bay University Health Board’s Sepsis protocol/guidelines.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4F38A310" w:rsidR="00873328" w:rsidRPr="00993EDF" w:rsidRDefault="00993EDF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see attached appendix - </w:t>
      </w:r>
      <w:r w:rsidRPr="00993EDF">
        <w:rPr>
          <w:rFonts w:ascii="Verdana" w:hAnsi="Verdana"/>
          <w:bCs/>
          <w:noProof/>
          <w:sz w:val="22"/>
          <w:szCs w:val="22"/>
        </w:rPr>
        <w:t>Adult Sepsis Screening Tool (Revised - May 2023)</w:t>
      </w:r>
    </w:p>
    <w:p w14:paraId="75970B72" w14:textId="4AD48749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8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8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8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93EDF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831EC-F0F9-4352-9602-619CC148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2024-06-27T11:25:00Z</dcterms:modified>
</cp:coreProperties>
</file>