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767B82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A086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24-F-015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767B82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A086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24-F-015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264872B6" w:rsidR="00286642" w:rsidRDefault="00EA0868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Please provide the following information</w:t>
      </w:r>
    </w:p>
    <w:p w14:paraId="44656E62" w14:textId="77777777" w:rsidR="00EA0868" w:rsidRDefault="00EA0868" w:rsidP="00DC0D5A">
      <w:pPr>
        <w:spacing w:before="280"/>
        <w:rPr>
          <w:rFonts w:ascii="Verdana" w:hAnsi="Verdana"/>
          <w:b/>
          <w:sz w:val="22"/>
        </w:rPr>
      </w:pPr>
    </w:p>
    <w:tbl>
      <w:tblPr>
        <w:tblW w:w="9288" w:type="dxa"/>
        <w:tblInd w:w="57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18"/>
        <w:gridCol w:w="1701"/>
        <w:gridCol w:w="1560"/>
        <w:gridCol w:w="1701"/>
        <w:gridCol w:w="1701"/>
        <w:gridCol w:w="1507"/>
      </w:tblGrid>
      <w:tr w:rsidR="00EA0868" w:rsidRPr="00EA0868" w14:paraId="5A54A928" w14:textId="77777777" w:rsidTr="00EA0868">
        <w:trPr>
          <w:trHeight w:val="284"/>
        </w:trPr>
        <w:tc>
          <w:tcPr>
            <w:tcW w:w="111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04F16D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Financial Year 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AEAF41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Monies handed back permanently by GDS practices</w:t>
            </w:r>
          </w:p>
        </w:tc>
        <w:tc>
          <w:tcPr>
            <w:tcW w:w="156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85FD1F" w14:textId="699E0ADF" w:rsidR="00EA0868" w:rsidRPr="00EA0868" w:rsidRDefault="00EA0868" w:rsidP="00EA0868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</w:t>
            </w:r>
            <w:r w:rsidRPr="00EA086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onies handed back non-recurrently by GDS practices 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4C640D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Monies clawed back from GDS practices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A7461A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Monies recommissioned to new GDS practices</w:t>
            </w:r>
          </w:p>
        </w:tc>
        <w:tc>
          <w:tcPr>
            <w:tcW w:w="1507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392530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Monies recommissioned to existing GDS practices </w:t>
            </w:r>
          </w:p>
        </w:tc>
      </w:tr>
      <w:tr w:rsidR="00EA0868" w:rsidRPr="00EA0868" w14:paraId="595DE7FF" w14:textId="77777777" w:rsidTr="00EA0868">
        <w:trPr>
          <w:trHeight w:val="148"/>
        </w:trPr>
        <w:tc>
          <w:tcPr>
            <w:tcW w:w="111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EA5425" w14:textId="77777777" w:rsidR="00EA0868" w:rsidRPr="00EA0868" w:rsidRDefault="00EA0868" w:rsidP="00EA0868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AB0FDE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  </w:t>
            </w:r>
          </w:p>
        </w:tc>
        <w:tc>
          <w:tcPr>
            <w:tcW w:w="156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18C9E5F" w14:textId="77777777" w:rsidR="00EA0868" w:rsidRPr="00EA0868" w:rsidRDefault="00EA0868" w:rsidP="00EA0868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A4A3D7" w14:textId="77777777" w:rsidR="00EA0868" w:rsidRPr="00EA0868" w:rsidRDefault="00EA0868" w:rsidP="00EA0868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92E365C" w14:textId="77777777" w:rsidR="00EA0868" w:rsidRPr="00EA0868" w:rsidRDefault="00EA0868" w:rsidP="00EA0868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507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CE85DA8" w14:textId="77777777" w:rsidR="00EA0868" w:rsidRPr="00EA0868" w:rsidRDefault="00EA0868" w:rsidP="00EA0868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A0868" w:rsidRPr="00EA0868" w14:paraId="26869B23" w14:textId="77777777" w:rsidTr="00EA0868">
        <w:trPr>
          <w:trHeight w:val="148"/>
        </w:trPr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9A060B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20/21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E696C1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color w:val="000000"/>
                <w:sz w:val="22"/>
                <w:szCs w:val="22"/>
              </w:rPr>
              <w:t>£0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326440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color w:val="000000"/>
                <w:sz w:val="22"/>
                <w:szCs w:val="22"/>
              </w:rPr>
              <w:t>£0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3CB893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color w:val="000000"/>
                <w:sz w:val="22"/>
                <w:szCs w:val="22"/>
              </w:rPr>
              <w:t>£0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81CA9F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color w:val="000000"/>
                <w:sz w:val="22"/>
                <w:szCs w:val="22"/>
              </w:rPr>
              <w:t>£0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473344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color w:val="000000"/>
                <w:sz w:val="22"/>
                <w:szCs w:val="22"/>
              </w:rPr>
              <w:t>£0</w:t>
            </w:r>
          </w:p>
        </w:tc>
      </w:tr>
      <w:tr w:rsidR="00EA0868" w:rsidRPr="00EA0868" w14:paraId="1A3A78F8" w14:textId="77777777" w:rsidTr="00EA0868">
        <w:trPr>
          <w:trHeight w:val="148"/>
        </w:trPr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FA429E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21/22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DA6404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color w:val="000000"/>
                <w:sz w:val="22"/>
                <w:szCs w:val="22"/>
              </w:rPr>
              <w:t>£171,405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3BC545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color w:val="000000"/>
                <w:sz w:val="22"/>
                <w:szCs w:val="22"/>
              </w:rPr>
              <w:t>£0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0BBD6A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color w:val="000000"/>
                <w:sz w:val="22"/>
                <w:szCs w:val="22"/>
              </w:rPr>
              <w:t>£0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6E3AB6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color w:val="000000"/>
                <w:sz w:val="22"/>
                <w:szCs w:val="22"/>
              </w:rPr>
              <w:t>£0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CF4297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color w:val="000000"/>
                <w:sz w:val="22"/>
                <w:szCs w:val="22"/>
              </w:rPr>
              <w:t>£105,100</w:t>
            </w:r>
          </w:p>
        </w:tc>
      </w:tr>
      <w:tr w:rsidR="00EA0868" w:rsidRPr="00EA0868" w14:paraId="1C3C2EA0" w14:textId="77777777" w:rsidTr="00EA0868">
        <w:trPr>
          <w:trHeight w:val="148"/>
        </w:trPr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3F7AF7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22/23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5D2A67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color w:val="000000"/>
                <w:sz w:val="22"/>
                <w:szCs w:val="22"/>
              </w:rPr>
              <w:t>£0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306EA2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color w:val="000000"/>
                <w:sz w:val="22"/>
                <w:szCs w:val="22"/>
              </w:rPr>
              <w:t>£14,496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11260D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color w:val="000000"/>
                <w:sz w:val="22"/>
                <w:szCs w:val="22"/>
              </w:rPr>
              <w:t>£1,463,577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ED9B76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color w:val="000000"/>
                <w:sz w:val="22"/>
                <w:szCs w:val="22"/>
              </w:rPr>
              <w:t>£0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71D66F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color w:val="000000"/>
                <w:sz w:val="22"/>
                <w:szCs w:val="22"/>
              </w:rPr>
              <w:t>£0</w:t>
            </w:r>
          </w:p>
        </w:tc>
      </w:tr>
      <w:tr w:rsidR="00EA0868" w:rsidRPr="00EA0868" w14:paraId="6865E2B1" w14:textId="77777777" w:rsidTr="00EA0868">
        <w:trPr>
          <w:trHeight w:val="148"/>
        </w:trPr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D582D8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23/24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0986B0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color w:val="000000"/>
                <w:sz w:val="22"/>
                <w:szCs w:val="22"/>
              </w:rPr>
              <w:t>£824,024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80EF31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color w:val="000000"/>
                <w:sz w:val="22"/>
                <w:szCs w:val="22"/>
                <w14:ligatures w14:val="standardContextual"/>
              </w:rPr>
              <w:t>£547,060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65222A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color w:val="000000"/>
                <w:sz w:val="22"/>
                <w:szCs w:val="22"/>
                <w14:ligatures w14:val="standardContextual"/>
              </w:rPr>
              <w:t>Not yet finalised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DC664B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color w:val="000000"/>
                <w:sz w:val="22"/>
                <w:szCs w:val="22"/>
              </w:rPr>
              <w:t>£0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4D3E91" w14:textId="77777777" w:rsidR="00EA0868" w:rsidRPr="00EA0868" w:rsidRDefault="00EA0868" w:rsidP="00EA086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A0868">
              <w:rPr>
                <w:rFonts w:ascii="Calibri" w:hAnsi="Calibri" w:cs="Calibri"/>
                <w:color w:val="000000"/>
                <w:sz w:val="22"/>
                <w:szCs w:val="22"/>
              </w:rPr>
              <w:t>£1,165,214</w:t>
            </w:r>
          </w:p>
        </w:tc>
      </w:tr>
    </w:tbl>
    <w:p w14:paraId="27B68BFA" w14:textId="77777777" w:rsidR="00EA0868" w:rsidRPr="00EA0868" w:rsidRDefault="00EA0868" w:rsidP="00EA0868">
      <w:pPr>
        <w:spacing w:before="0" w:after="0" w:line="240" w:lineRule="auto"/>
        <w:ind w:left="0" w:right="0"/>
        <w:rPr>
          <w:rFonts w:ascii="Calibri" w:hAnsi="Calibri" w:cs="Calibri"/>
          <w:color w:val="1F497D"/>
          <w:sz w:val="22"/>
          <w:szCs w:val="22"/>
          <w:lang w:eastAsia="en-US"/>
        </w:rPr>
      </w:pPr>
    </w:p>
    <w:p w14:paraId="7D761BFA" w14:textId="0E78B816" w:rsidR="00EA0868" w:rsidRPr="00EA0868" w:rsidRDefault="00EA0868" w:rsidP="00DC0D5A">
      <w:pPr>
        <w:spacing w:before="280"/>
        <w:rPr>
          <w:rFonts w:ascii="Verdana" w:hAnsi="Verdana"/>
          <w:b/>
          <w:color w:val="000000" w:themeColor="text1"/>
          <w:sz w:val="22"/>
          <w:szCs w:val="22"/>
        </w:rPr>
      </w:pPr>
      <w:r w:rsidRPr="00EA0868">
        <w:rPr>
          <w:rFonts w:ascii="Verdana" w:eastAsia="Times New Roman" w:hAnsi="Verdana"/>
          <w:color w:val="000000" w:themeColor="text1"/>
          <w:sz w:val="22"/>
          <w:szCs w:val="22"/>
        </w:rPr>
        <w:t>The value in the Monies recommissioned column for 23/24 is made up of £824,024 which was recommissioned recurrently and the remainder relates to non-recurrent commissioning for 23/24 only</w:t>
      </w:r>
    </w:p>
    <w:p w14:paraId="75970B72" w14:textId="7E2D2DF1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A0868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0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9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66</TotalTime>
  <Pages>1</Pages>
  <Words>148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21</cp:revision>
  <cp:lastPrinted>2019-03-26T11:11:00Z</cp:lastPrinted>
  <dcterms:created xsi:type="dcterms:W3CDTF">2021-09-13T07:38:00Z</dcterms:created>
  <dcterms:modified xsi:type="dcterms:W3CDTF">2024-07-04T11:04:00Z</dcterms:modified>
</cp:coreProperties>
</file>