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02B67D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3254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02B67D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3254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F594C8" w14:textId="31DE8A14" w:rsidR="00C3254C" w:rsidRPr="00C3254C" w:rsidRDefault="00C3254C" w:rsidP="00C3254C">
      <w:pPr>
        <w:spacing w:after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Q1. How many Non-small cell lung cancer (NSCLC) patients were treated in the past 3 months</w:t>
      </w:r>
      <w:r>
        <w:rPr>
          <w:rFonts w:ascii="Verdana" w:hAnsi="Verdana"/>
          <w:b/>
          <w:sz w:val="22"/>
          <w:szCs w:val="22"/>
          <w:lang w:val="en-US"/>
        </w:rPr>
        <w:t xml:space="preserve"> (March to May 2024)</w:t>
      </w:r>
      <w:r w:rsidRPr="00C3254C">
        <w:rPr>
          <w:rFonts w:ascii="Verdana" w:hAnsi="Verdana"/>
          <w:b/>
          <w:sz w:val="22"/>
          <w:szCs w:val="22"/>
          <w:lang w:val="en-US"/>
        </w:rPr>
        <w:t xml:space="preserve"> with: </w:t>
      </w:r>
    </w:p>
    <w:p w14:paraId="625995D2" w14:textId="77777777" w:rsidR="00C3254C" w:rsidRPr="00C3254C" w:rsidRDefault="00C3254C" w:rsidP="00C3254C">
      <w:pPr>
        <w:spacing w:after="0"/>
        <w:rPr>
          <w:rFonts w:ascii="Verdana" w:hAnsi="Verdana"/>
          <w:b/>
          <w:sz w:val="22"/>
          <w:szCs w:val="22"/>
          <w:lang w:val="en-US"/>
        </w:rPr>
      </w:pPr>
    </w:p>
    <w:p w14:paraId="1808A1AF" w14:textId="77777777" w:rsidR="00C3254C" w:rsidRPr="00C3254C" w:rsidRDefault="00C3254C" w:rsidP="00910924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ALK Inhibitors (Alectinib, Brigatinib, Ceritinib, Crizotinib, Lorlatinib)</w:t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</w:r>
    </w:p>
    <w:p w14:paraId="40865E19" w14:textId="4FB96FF3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  <w:lang w:val="en-US"/>
        </w:rPr>
        <w:t>5</w:t>
      </w:r>
    </w:p>
    <w:p w14:paraId="1E4EAC04" w14:textId="77777777" w:rsidR="00C3254C" w:rsidRPr="00C3254C" w:rsidRDefault="00C3254C" w:rsidP="00910924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Amivantamab</w:t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b/>
          <w:sz w:val="22"/>
          <w:szCs w:val="22"/>
          <w:lang w:val="en-US"/>
        </w:rPr>
        <w:tab/>
      </w:r>
    </w:p>
    <w:p w14:paraId="158EC093" w14:textId="1E2F7956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sz w:val="22"/>
          <w:szCs w:val="22"/>
          <w:lang w:val="en-US"/>
        </w:rPr>
        <w:t>Nil</w:t>
      </w:r>
    </w:p>
    <w:p w14:paraId="16E4389C" w14:textId="77777777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Atezolizumab Monotherapy</w:t>
      </w:r>
      <w:r>
        <w:rPr>
          <w:rFonts w:ascii="Verdana" w:hAnsi="Verdana"/>
          <w:b/>
          <w:sz w:val="22"/>
          <w:szCs w:val="22"/>
          <w:lang w:val="en-US"/>
        </w:rPr>
        <w:tab/>
      </w:r>
    </w:p>
    <w:p w14:paraId="207E9242" w14:textId="26D7004D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sz w:val="22"/>
          <w:szCs w:val="22"/>
          <w:lang w:val="en-US"/>
        </w:rPr>
        <w:t>Nil</w:t>
      </w:r>
    </w:p>
    <w:p w14:paraId="46395168" w14:textId="77777777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Atezolizumab + Bevacizumab + Carboplatin + Paclitaxel</w:t>
      </w:r>
      <w:r>
        <w:rPr>
          <w:rFonts w:ascii="Verdana" w:hAnsi="Verdana"/>
          <w:b/>
          <w:sz w:val="22"/>
          <w:szCs w:val="22"/>
          <w:lang w:val="en-US"/>
        </w:rPr>
        <w:tab/>
      </w:r>
    </w:p>
    <w:p w14:paraId="32BDB310" w14:textId="0B438DFB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  <w:lang w:val="en-US"/>
        </w:rPr>
        <w:t xml:space="preserve">Nil </w:t>
      </w:r>
    </w:p>
    <w:p w14:paraId="5CA9BE80" w14:textId="77777777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Dabrafenib + Trametinib</w:t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  <w:r>
        <w:rPr>
          <w:rFonts w:ascii="Verdana" w:hAnsi="Verdana"/>
          <w:b/>
          <w:sz w:val="22"/>
          <w:szCs w:val="22"/>
          <w:lang w:val="en-US"/>
        </w:rPr>
        <w:tab/>
      </w:r>
    </w:p>
    <w:p w14:paraId="328B326C" w14:textId="39AA7DD2" w:rsidR="00C3254C" w:rsidRPr="00C3254C" w:rsidRDefault="00C3254C" w:rsidP="00C3254C">
      <w:pPr>
        <w:spacing w:before="0" w:after="0" w:line="276" w:lineRule="auto"/>
        <w:ind w:left="360"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sz w:val="22"/>
          <w:szCs w:val="22"/>
          <w:lang w:val="en-US"/>
        </w:rPr>
        <w:t>Nil</w:t>
      </w:r>
    </w:p>
    <w:p w14:paraId="6D1ECA63" w14:textId="77777777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Docetaxel monotherapy or in combination with Carboplatin/Cisplatin</w:t>
      </w:r>
      <w:r>
        <w:rPr>
          <w:rFonts w:ascii="Verdana" w:hAnsi="Verdana"/>
          <w:b/>
          <w:sz w:val="22"/>
          <w:szCs w:val="22"/>
          <w:lang w:val="en-US"/>
        </w:rPr>
        <w:tab/>
      </w:r>
    </w:p>
    <w:p w14:paraId="211A2943" w14:textId="4DD485D3" w:rsidR="00C3254C" w:rsidRPr="00C3254C" w:rsidRDefault="00C3254C" w:rsidP="00C3254C">
      <w:pPr>
        <w:spacing w:before="0" w:after="0" w:line="276" w:lineRule="auto"/>
        <w:ind w:left="360"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ab/>
      </w:r>
      <w:r w:rsidRPr="00C3254C">
        <w:rPr>
          <w:rFonts w:ascii="Verdana" w:hAnsi="Verdana"/>
          <w:sz w:val="22"/>
          <w:szCs w:val="22"/>
          <w:lang w:val="en-US"/>
        </w:rPr>
        <w:t>&lt;5*</w:t>
      </w:r>
    </w:p>
    <w:p w14:paraId="03ADA285" w14:textId="403BC624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Durvalumab</w:t>
      </w:r>
    </w:p>
    <w:p w14:paraId="502D37A2" w14:textId="71BC128C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9</w:t>
      </w:r>
    </w:p>
    <w:p w14:paraId="37407E1E" w14:textId="572076C0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Gemcitabine</w:t>
      </w:r>
    </w:p>
    <w:p w14:paraId="13788130" w14:textId="0F69B149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Nil</w:t>
      </w:r>
    </w:p>
    <w:p w14:paraId="40330869" w14:textId="64C2F9AF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Nitedanib + Docetaxel</w:t>
      </w:r>
    </w:p>
    <w:p w14:paraId="26F1A94F" w14:textId="2731CEBC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&lt;5*</w:t>
      </w:r>
    </w:p>
    <w:p w14:paraId="00D670E0" w14:textId="3CD4CFEC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Nivolumab</w:t>
      </w:r>
    </w:p>
    <w:p w14:paraId="41331056" w14:textId="0CE8659D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</w:rPr>
        <w:t>Nil</w:t>
      </w:r>
    </w:p>
    <w:p w14:paraId="3DB4F4DA" w14:textId="4A8EDCD3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Osimertinib</w:t>
      </w:r>
    </w:p>
    <w:p w14:paraId="65BA6B9C" w14:textId="56D68739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10</w:t>
      </w:r>
    </w:p>
    <w:p w14:paraId="622220DE" w14:textId="7F0E796F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Other EGFR Inhibitors (Afatinib, Erlotinib, Gefitinib, Dacomitinib, Mobocertinib)</w:t>
      </w:r>
    </w:p>
    <w:p w14:paraId="69558E75" w14:textId="48FA947C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&lt;5*</w:t>
      </w:r>
    </w:p>
    <w:p w14:paraId="5253C980" w14:textId="501F29AB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Paclitaxel</w:t>
      </w:r>
    </w:p>
    <w:p w14:paraId="4DCD7D93" w14:textId="77777777" w:rsid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Nil</w:t>
      </w:r>
    </w:p>
    <w:p w14:paraId="73662011" w14:textId="5F575B19" w:rsid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lastRenderedPageBreak/>
        <w:t>Pembrolizumab Monotherapy</w:t>
      </w:r>
    </w:p>
    <w:p w14:paraId="354EC119" w14:textId="21C96231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20</w:t>
      </w:r>
    </w:p>
    <w:p w14:paraId="2FE933F2" w14:textId="45C8BDEE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Pembrolizumab + Paclitaxel + Platinum (Carboplatin/Cisplatin)</w:t>
      </w:r>
    </w:p>
    <w:p w14:paraId="412B1BEB" w14:textId="4CB79710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7</w:t>
      </w:r>
    </w:p>
    <w:p w14:paraId="207AA9DA" w14:textId="3A2B17F4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Pembrolizumab + Pemetrexed + Platinum (Carboplatin/Cisplatin)</w:t>
      </w:r>
    </w:p>
    <w:p w14:paraId="2242CEFF" w14:textId="5F44FEC3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14</w:t>
      </w:r>
    </w:p>
    <w:p w14:paraId="1CD2C8FE" w14:textId="74EE6F01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Pemetrexed + Platinum (Carboplatin/Cisplatin)</w:t>
      </w:r>
    </w:p>
    <w:p w14:paraId="7A257657" w14:textId="0D58F454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&lt;5*</w:t>
      </w:r>
    </w:p>
    <w:p w14:paraId="5D7585F9" w14:textId="28A1FFC0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RET Inhibitors (Pralsetinib, Selpercatinib)</w:t>
      </w:r>
    </w:p>
    <w:p w14:paraId="69DD3C4B" w14:textId="24F02F85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Nil</w:t>
      </w:r>
    </w:p>
    <w:p w14:paraId="00A18929" w14:textId="2D5BC1FB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Sotorasib</w:t>
      </w:r>
    </w:p>
    <w:p w14:paraId="342D8AA8" w14:textId="2364A660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&lt;5*</w:t>
      </w:r>
    </w:p>
    <w:p w14:paraId="5017AC5B" w14:textId="674F6878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Tepotinib</w:t>
      </w:r>
    </w:p>
    <w:p w14:paraId="6C67BB40" w14:textId="572D79AB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Nil</w:t>
      </w:r>
    </w:p>
    <w:p w14:paraId="373BFD52" w14:textId="06A16CDE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Vinorelbine monotherapy or in combination with Carboplatin/Cisplatin</w:t>
      </w:r>
    </w:p>
    <w:p w14:paraId="79DA28A8" w14:textId="4156B515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8</w:t>
      </w:r>
    </w:p>
    <w:p w14:paraId="13720510" w14:textId="366DD0CE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Other active systemic anti-cancer therapy</w:t>
      </w:r>
    </w:p>
    <w:p w14:paraId="77BACDC4" w14:textId="7416D9EC" w:rsidR="00C3254C" w:rsidRPr="00C3254C" w:rsidRDefault="00C3254C" w:rsidP="00C3254C">
      <w:pPr>
        <w:spacing w:before="0" w:after="0" w:line="240" w:lineRule="auto"/>
        <w:ind w:left="0" w:right="0" w:firstLine="720"/>
        <w:rPr>
          <w:rFonts w:ascii="Verdana" w:eastAsia="Times New Roman" w:hAnsi="Verdana" w:cs="Calibri"/>
          <w:color w:val="000000"/>
          <w:sz w:val="22"/>
          <w:szCs w:val="22"/>
        </w:rPr>
      </w:pPr>
      <w:r w:rsidRPr="00C3254C">
        <w:rPr>
          <w:rFonts w:ascii="Verdana" w:eastAsia="Times New Roman" w:hAnsi="Verdana" w:cs="Calibri"/>
          <w:color w:val="000000"/>
          <w:sz w:val="22"/>
          <w:szCs w:val="22"/>
        </w:rPr>
        <w:t>Carboplatin &amp; paclitaxel</w:t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 w:rsidRPr="00C3254C">
        <w:rPr>
          <w:rFonts w:ascii="Verdana" w:eastAsia="Times New Roman" w:hAnsi="Verdana" w:cs="Calibri"/>
          <w:color w:val="000000"/>
          <w:sz w:val="22"/>
          <w:szCs w:val="22"/>
        </w:rPr>
        <w:t xml:space="preserve"> 10</w:t>
      </w:r>
    </w:p>
    <w:p w14:paraId="5180CF3B" w14:textId="2B4E3974" w:rsidR="00C3254C" w:rsidRPr="00C3254C" w:rsidRDefault="00C3254C" w:rsidP="00C3254C">
      <w:pPr>
        <w:spacing w:before="0" w:after="0" w:line="240" w:lineRule="auto"/>
        <w:ind w:left="0" w:right="0" w:firstLine="720"/>
        <w:rPr>
          <w:rFonts w:ascii="Verdana" w:eastAsia="Times New Roman" w:hAnsi="Verdana" w:cs="Calibri"/>
          <w:color w:val="000000"/>
          <w:sz w:val="22"/>
          <w:szCs w:val="22"/>
        </w:rPr>
      </w:pPr>
      <w:r w:rsidRPr="00C3254C">
        <w:rPr>
          <w:rFonts w:ascii="Verdana" w:eastAsia="Times New Roman" w:hAnsi="Verdana" w:cs="Calibri"/>
          <w:color w:val="000000"/>
          <w:sz w:val="22"/>
          <w:szCs w:val="22"/>
        </w:rPr>
        <w:t xml:space="preserve">Etoposide &amp; carboplatin </w:t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  <w:t xml:space="preserve"> &lt;5*</w:t>
      </w:r>
    </w:p>
    <w:p w14:paraId="1BF032EA" w14:textId="523284A1" w:rsidR="00C3254C" w:rsidRPr="00C3254C" w:rsidRDefault="00C3254C" w:rsidP="00C3254C">
      <w:pPr>
        <w:spacing w:before="0" w:after="0" w:line="240" w:lineRule="auto"/>
        <w:ind w:left="0" w:right="0" w:firstLine="720"/>
        <w:rPr>
          <w:rFonts w:ascii="Verdana" w:eastAsia="Times New Roman" w:hAnsi="Verdana" w:cs="Calibri"/>
          <w:color w:val="000000"/>
          <w:sz w:val="22"/>
          <w:szCs w:val="22"/>
        </w:rPr>
      </w:pPr>
      <w:r w:rsidRPr="00C3254C">
        <w:rPr>
          <w:rFonts w:ascii="Verdana" w:eastAsia="Times New Roman" w:hAnsi="Verdana" w:cs="Calibri"/>
          <w:color w:val="000000"/>
          <w:sz w:val="22"/>
          <w:szCs w:val="22"/>
        </w:rPr>
        <w:t>Gemcitabine &amp; cisplatin</w:t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 w:rsidRPr="00C3254C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 w:cs="Calibri"/>
          <w:color w:val="000000"/>
          <w:sz w:val="22"/>
          <w:szCs w:val="22"/>
        </w:rPr>
        <w:t>&lt;5*</w:t>
      </w:r>
    </w:p>
    <w:p w14:paraId="29E4053D" w14:textId="55D97067" w:rsidR="00C3254C" w:rsidRPr="00C3254C" w:rsidRDefault="00C3254C" w:rsidP="00C3254C">
      <w:pPr>
        <w:spacing w:before="0" w:after="0" w:line="240" w:lineRule="auto"/>
        <w:ind w:left="0" w:right="0" w:firstLine="720"/>
        <w:rPr>
          <w:rFonts w:ascii="Verdana" w:eastAsia="Times New Roman" w:hAnsi="Verdana" w:cs="Calibri"/>
          <w:color w:val="000000"/>
          <w:sz w:val="22"/>
          <w:szCs w:val="22"/>
        </w:rPr>
      </w:pPr>
      <w:r w:rsidRPr="00C3254C">
        <w:rPr>
          <w:rFonts w:ascii="Verdana" w:eastAsia="Times New Roman" w:hAnsi="Verdana" w:cs="Calibri"/>
          <w:color w:val="000000"/>
          <w:sz w:val="22"/>
          <w:szCs w:val="22"/>
        </w:rPr>
        <w:t>Pemetrexed single agent</w:t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 w:rsidRPr="00C3254C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 w:cs="Calibri"/>
          <w:color w:val="000000"/>
          <w:sz w:val="22"/>
          <w:szCs w:val="22"/>
        </w:rPr>
        <w:t>&lt;5*</w:t>
      </w:r>
    </w:p>
    <w:p w14:paraId="4A13BCEF" w14:textId="0EE17AE3" w:rsidR="00C3254C" w:rsidRPr="00C3254C" w:rsidRDefault="00C3254C" w:rsidP="00C3254C">
      <w:pPr>
        <w:spacing w:before="0" w:after="0" w:line="240" w:lineRule="auto"/>
        <w:ind w:left="0" w:right="0" w:firstLine="720"/>
        <w:rPr>
          <w:rFonts w:ascii="Verdana" w:eastAsia="Times New Roman" w:hAnsi="Verdana" w:cs="Calibri"/>
          <w:color w:val="000000"/>
          <w:sz w:val="22"/>
          <w:szCs w:val="22"/>
        </w:rPr>
      </w:pPr>
      <w:proofErr w:type="spellStart"/>
      <w:r w:rsidRPr="00C3254C">
        <w:rPr>
          <w:rFonts w:ascii="Verdana" w:eastAsia="Times New Roman" w:hAnsi="Verdana" w:cs="Calibri"/>
          <w:color w:val="000000"/>
          <w:sz w:val="22"/>
          <w:szCs w:val="22"/>
        </w:rPr>
        <w:t>Entrectinib</w:t>
      </w:r>
      <w:proofErr w:type="spellEnd"/>
      <w:r w:rsidRPr="00C3254C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color w:val="000000"/>
          <w:sz w:val="22"/>
          <w:szCs w:val="22"/>
        </w:rPr>
        <w:tab/>
        <w:t xml:space="preserve"> &lt;5*</w:t>
      </w:r>
    </w:p>
    <w:p w14:paraId="2DF03113" w14:textId="77777777" w:rsidR="00C3254C" w:rsidRPr="00C3254C" w:rsidRDefault="00C3254C" w:rsidP="00C3254C">
      <w:pPr>
        <w:pStyle w:val="ListParagraph"/>
        <w:spacing w:before="0" w:after="0" w:line="276" w:lineRule="auto"/>
        <w:ind w:right="0"/>
        <w:rPr>
          <w:rFonts w:ascii="Verdana" w:hAnsi="Verdana"/>
          <w:sz w:val="22"/>
          <w:szCs w:val="22"/>
        </w:rPr>
      </w:pPr>
    </w:p>
    <w:p w14:paraId="1838FB3A" w14:textId="0547A181" w:rsidR="00C3254C" w:rsidRPr="00C3254C" w:rsidRDefault="00C3254C" w:rsidP="00C3254C">
      <w:pPr>
        <w:pStyle w:val="ListParagraph"/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</w:rPr>
      </w:pPr>
      <w:r w:rsidRPr="00C3254C">
        <w:rPr>
          <w:rFonts w:ascii="Verdana" w:hAnsi="Verdana"/>
          <w:b/>
          <w:sz w:val="22"/>
          <w:szCs w:val="22"/>
          <w:lang w:val="en-US"/>
        </w:rPr>
        <w:t>Palliative care only</w:t>
      </w:r>
    </w:p>
    <w:p w14:paraId="280B9513" w14:textId="34728263" w:rsidR="00C3254C" w:rsidRPr="00C3254C" w:rsidRDefault="007736B2" w:rsidP="007736B2">
      <w:pPr>
        <w:pStyle w:val="ListParagraph"/>
        <w:rPr>
          <w:rFonts w:ascii="Verdana" w:hAnsi="Verdana"/>
          <w:b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This information is not held centrally but would be held in patient notes</w:t>
      </w:r>
      <w:r>
        <w:rPr>
          <w:rFonts w:ascii="Verdana" w:hAnsi="Verdana"/>
          <w:sz w:val="22"/>
          <w:szCs w:val="22"/>
        </w:rPr>
        <w:t>. **</w:t>
      </w:r>
    </w:p>
    <w:p w14:paraId="23DF621B" w14:textId="63DD1B70" w:rsidR="00873328" w:rsidRPr="00C3254C" w:rsidRDefault="00C3254C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C3254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7736B2" w:rsidRPr="00D4728F">
        <w:rPr>
          <w:rFonts w:ascii="Verdana" w:hAnsi="Verdana"/>
          <w:noProof/>
          <w:sz w:val="22"/>
          <w:szCs w:val="22"/>
        </w:rPr>
        <w:t xml:space="preserve">** </w:t>
      </w:r>
      <w:r w:rsidR="007736B2"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7736B2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7736B2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7736B2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7736B2" w:rsidRPr="00FC3B42">
        <w:rPr>
          <w:rFonts w:ascii="Verdana" w:hAnsi="Verdana" w:cs="Tahoma"/>
          <w:sz w:val="22"/>
          <w:szCs w:val="22"/>
        </w:rPr>
        <w:t>Section 12 of the FOI Act and T</w:t>
      </w:r>
      <w:r w:rsidR="007736B2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7736B2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7736B2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7736B2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</w:t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 </w:t>
      </w:r>
    </w:p>
    <w:sectPr w:rsid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3A803F" w14:textId="77777777" w:rsidR="006902F2" w:rsidRDefault="006902F2" w:rsidP="006902F2">
    <w:pPr>
      <w:pStyle w:val="Footer"/>
    </w:pPr>
  </w:p>
  <w:p w14:paraId="5F56A0C4" w14:textId="77777777" w:rsidR="006902F2" w:rsidRDefault="006902F2" w:rsidP="006902F2">
    <w:pPr>
      <w:pStyle w:val="Footer"/>
    </w:pPr>
  </w:p>
  <w:p w14:paraId="19625BAB" w14:textId="77777777" w:rsidR="006902F2" w:rsidRDefault="006902F2" w:rsidP="006902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6D637686" w14:textId="77777777" w:rsidR="006902F2" w:rsidRDefault="006902F2" w:rsidP="006902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B8C0685" wp14:editId="45E324C3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BC6F6DB" w14:textId="77777777" w:rsidR="006902F2" w:rsidRPr="002B2CF6" w:rsidRDefault="006902F2" w:rsidP="006902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3AF8F2EB" w:rsidR="007D6A3E" w:rsidRPr="006902F2" w:rsidRDefault="006902F2" w:rsidP="006902F2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0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0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0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2B03E19"/>
    <w:multiLevelType w:val="hybridMultilevel"/>
    <w:tmpl w:val="FD8445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0709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902F2"/>
    <w:rsid w:val="006C4048"/>
    <w:rsid w:val="006D5578"/>
    <w:rsid w:val="006F4A69"/>
    <w:rsid w:val="006F5A5D"/>
    <w:rsid w:val="00730DD2"/>
    <w:rsid w:val="00734492"/>
    <w:rsid w:val="0073651A"/>
    <w:rsid w:val="00771F1B"/>
    <w:rsid w:val="007736B2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254C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C2D98-8AC2-4C0B-B1BF-2971F3677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2024-06-27T08:22:00Z</dcterms:modified>
</cp:coreProperties>
</file>