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5B8F87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D2436">
                              <w:rPr>
                                <w:rFonts w:ascii="Verdana" w:hAnsi="Verdana"/>
                                <w:b/>
                                <w:sz w:val="22"/>
                                <w:szCs w:val="22"/>
                              </w:rPr>
                              <w:t>24-F-045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5B8F87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D2436">
                        <w:rPr>
                          <w:rFonts w:ascii="Verdana" w:hAnsi="Verdana"/>
                          <w:b/>
                          <w:sz w:val="22"/>
                          <w:szCs w:val="22"/>
                        </w:rPr>
                        <w:t>24-F-045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C1024CE" w14:textId="483FCC85" w:rsidR="00AD2436" w:rsidRPr="00AD2436" w:rsidRDefault="00AD2436" w:rsidP="00AD2436">
      <w:pPr>
        <w:pStyle w:val="ListParagraph"/>
        <w:numPr>
          <w:ilvl w:val="0"/>
          <w:numId w:val="19"/>
        </w:numPr>
        <w:rPr>
          <w:rFonts w:ascii="Verdana" w:eastAsia="Times New Roman" w:hAnsi="Verdana"/>
          <w:b/>
          <w:bCs/>
          <w:sz w:val="22"/>
          <w:szCs w:val="22"/>
        </w:rPr>
      </w:pPr>
      <w:r w:rsidRPr="00AD2436">
        <w:rPr>
          <w:rFonts w:ascii="Verdana" w:eastAsia="Times New Roman" w:hAnsi="Verdana"/>
          <w:b/>
          <w:bCs/>
          <w:sz w:val="22"/>
          <w:szCs w:val="22"/>
        </w:rPr>
        <w:t>For adults, how long is the wait for ADHD assessments in Swansea Bay University Health Board</w:t>
      </w:r>
    </w:p>
    <w:p w14:paraId="5BBBDBC0" w14:textId="77777777" w:rsidR="00CE1695" w:rsidRPr="00CE1695" w:rsidRDefault="00CE1695" w:rsidP="00BE093F">
      <w:pPr>
        <w:pStyle w:val="NormalWeb"/>
        <w:shd w:val="clear" w:color="auto" w:fill="FFFFFF"/>
        <w:ind w:left="505"/>
        <w:jc w:val="both"/>
        <w:textAlignment w:val="baseline"/>
        <w:rPr>
          <w:rFonts w:ascii="Verdana" w:hAnsi="Verdana" w:cstheme="minorHAnsi"/>
          <w:color w:val="000000"/>
          <w:sz w:val="22"/>
          <w:szCs w:val="22"/>
        </w:rPr>
      </w:pPr>
      <w:r w:rsidRPr="00CE1695">
        <w:rPr>
          <w:rFonts w:ascii="Verdana" w:hAnsi="Verdana" w:cstheme="minorHAnsi"/>
          <w:color w:val="000000"/>
          <w:sz w:val="22"/>
          <w:szCs w:val="22"/>
        </w:rPr>
        <w:t>From 2022 patients referred for ADHD are managed in the same way as outpatient services in mental health and there is no bespoke pathway currently in place. The first appointment is recorded on our patient information system as a new patient appointment under mental health and the initial assessment for ADHD is recorded as part of the follow up pathway.</w:t>
      </w:r>
    </w:p>
    <w:p w14:paraId="50EA4D29" w14:textId="77777777" w:rsidR="00CE1695" w:rsidRPr="00CE1695" w:rsidRDefault="00CE1695" w:rsidP="00BE093F">
      <w:pPr>
        <w:pStyle w:val="NormalWeb"/>
        <w:shd w:val="clear" w:color="auto" w:fill="FFFFFF"/>
        <w:jc w:val="both"/>
        <w:textAlignment w:val="baseline"/>
        <w:rPr>
          <w:rFonts w:ascii="Verdana" w:hAnsi="Verdana" w:cstheme="minorHAnsi"/>
          <w:color w:val="000000"/>
          <w:sz w:val="22"/>
          <w:szCs w:val="22"/>
        </w:rPr>
      </w:pPr>
    </w:p>
    <w:p w14:paraId="479EF3C3" w14:textId="652ADAB0" w:rsidR="00CE1695" w:rsidRPr="00CE1695" w:rsidRDefault="00CE1695" w:rsidP="00BE093F">
      <w:pPr>
        <w:shd w:val="clear" w:color="auto" w:fill="FFFFFF"/>
        <w:spacing w:after="0"/>
        <w:jc w:val="both"/>
        <w:textAlignment w:val="baseline"/>
        <w:rPr>
          <w:rFonts w:ascii="Verdana" w:eastAsiaTheme="minorHAnsi" w:hAnsi="Verdana" w:cstheme="minorHAnsi"/>
          <w:color w:val="000000" w:themeColor="text1"/>
          <w:sz w:val="22"/>
          <w:szCs w:val="22"/>
        </w:rPr>
      </w:pPr>
      <w:r w:rsidRPr="00CE1695">
        <w:rPr>
          <w:rFonts w:ascii="Verdana" w:eastAsiaTheme="minorHAnsi" w:hAnsi="Verdana" w:cstheme="minorHAnsi"/>
          <w:color w:val="000000" w:themeColor="text1"/>
          <w:sz w:val="22"/>
          <w:szCs w:val="22"/>
        </w:rPr>
        <w:t>The average waiting time are for all undiagnosed new adult patients</w:t>
      </w:r>
      <w:r w:rsidR="00C925C6">
        <w:rPr>
          <w:rFonts w:ascii="Verdana" w:eastAsiaTheme="minorHAnsi" w:hAnsi="Verdana" w:cstheme="minorHAnsi"/>
          <w:color w:val="000000" w:themeColor="text1"/>
          <w:sz w:val="22"/>
          <w:szCs w:val="22"/>
        </w:rPr>
        <w:t xml:space="preserve"> (not specifically ADHD)</w:t>
      </w:r>
      <w:r w:rsidRPr="00CE1695">
        <w:rPr>
          <w:rFonts w:ascii="Verdana" w:eastAsiaTheme="minorHAnsi" w:hAnsi="Verdana" w:cstheme="minorHAnsi"/>
          <w:color w:val="000000" w:themeColor="text1"/>
          <w:sz w:val="22"/>
          <w:szCs w:val="22"/>
        </w:rPr>
        <w:t xml:space="preserve"> as at 3Oth June 2024 – 82 days. (11.2 weeks)</w:t>
      </w:r>
    </w:p>
    <w:p w14:paraId="1CEE11A8" w14:textId="519AB01E" w:rsidR="00AD2436" w:rsidRPr="00AD2436" w:rsidRDefault="00AD2436" w:rsidP="00BE093F">
      <w:pPr>
        <w:jc w:val="both"/>
        <w:rPr>
          <w:rFonts w:ascii="Verdana" w:eastAsia="Times New Roman" w:hAnsi="Verdana"/>
          <w:b/>
          <w:bCs/>
          <w:sz w:val="22"/>
          <w:szCs w:val="22"/>
        </w:rPr>
      </w:pPr>
      <w:r w:rsidRPr="00AD2436">
        <w:rPr>
          <w:rFonts w:ascii="Verdana" w:eastAsia="Times New Roman" w:hAnsi="Verdana"/>
          <w:b/>
          <w:bCs/>
          <w:sz w:val="22"/>
          <w:szCs w:val="22"/>
        </w:rPr>
        <w:t xml:space="preserve">2) For adults, how long is the wait for an autism assessment in Swansea Bay University Health Board </w:t>
      </w:r>
    </w:p>
    <w:p w14:paraId="5DD793D7" w14:textId="77777777" w:rsidR="00CE1695" w:rsidRPr="0001083F" w:rsidRDefault="00CE1695" w:rsidP="00BE093F">
      <w:pPr>
        <w:pStyle w:val="NormalWeb"/>
        <w:shd w:val="clear" w:color="auto" w:fill="FFFFFF"/>
        <w:ind w:left="505"/>
        <w:jc w:val="both"/>
        <w:textAlignment w:val="baseline"/>
        <w:rPr>
          <w:rFonts w:ascii="Verdana" w:hAnsi="Verdana"/>
          <w:sz w:val="22"/>
          <w:szCs w:val="22"/>
          <w:shd w:val="clear" w:color="auto" w:fill="FFFFFF"/>
        </w:rPr>
      </w:pPr>
      <w:r w:rsidRPr="0001083F">
        <w:rPr>
          <w:rFonts w:ascii="Verdana" w:hAnsi="Verdana"/>
          <w:sz w:val="22"/>
          <w:szCs w:val="22"/>
          <w:shd w:val="clear" w:color="auto" w:fill="FFFFFF"/>
        </w:rPr>
        <w:t xml:space="preserve">For autism, there is a specific service under the Integrated Autism team, people </w:t>
      </w:r>
      <w:proofErr w:type="gramStart"/>
      <w:r w:rsidRPr="0001083F">
        <w:rPr>
          <w:rFonts w:ascii="Verdana" w:hAnsi="Verdana"/>
          <w:sz w:val="22"/>
          <w:szCs w:val="22"/>
          <w:shd w:val="clear" w:color="auto" w:fill="FFFFFF"/>
        </w:rPr>
        <w:t>are able to</w:t>
      </w:r>
      <w:proofErr w:type="gramEnd"/>
      <w:r w:rsidRPr="0001083F">
        <w:rPr>
          <w:rFonts w:ascii="Verdana" w:hAnsi="Verdana"/>
          <w:sz w:val="22"/>
          <w:szCs w:val="22"/>
          <w:shd w:val="clear" w:color="auto" w:fill="FFFFFF"/>
        </w:rPr>
        <w:t xml:space="preserve"> self-refer to the service. This service assesses and diagnose patients where the sole need is an ASD diagnosis  </w:t>
      </w:r>
    </w:p>
    <w:p w14:paraId="324F9A5D" w14:textId="77777777" w:rsidR="00CE1695" w:rsidRPr="0001083F" w:rsidRDefault="00CE1695" w:rsidP="00BE093F">
      <w:pPr>
        <w:pStyle w:val="NormalWeb"/>
        <w:shd w:val="clear" w:color="auto" w:fill="FFFFFF"/>
        <w:ind w:left="505"/>
        <w:jc w:val="both"/>
        <w:textAlignment w:val="baseline"/>
        <w:rPr>
          <w:rFonts w:ascii="Verdana" w:hAnsi="Verdana"/>
          <w:sz w:val="22"/>
          <w:szCs w:val="22"/>
          <w:shd w:val="clear" w:color="auto" w:fill="FFFFFF"/>
        </w:rPr>
      </w:pPr>
    </w:p>
    <w:p w14:paraId="32E1B3E8" w14:textId="326AD0AA" w:rsidR="00CE1695" w:rsidRPr="0001083F" w:rsidRDefault="00CE1695" w:rsidP="00BE093F">
      <w:pPr>
        <w:pStyle w:val="NormalWeb"/>
        <w:shd w:val="clear" w:color="auto" w:fill="FFFFFF"/>
        <w:ind w:left="505"/>
        <w:jc w:val="both"/>
        <w:textAlignment w:val="baseline"/>
        <w:rPr>
          <w:rFonts w:ascii="Verdana" w:hAnsi="Verdana"/>
          <w:sz w:val="22"/>
          <w:szCs w:val="22"/>
          <w:shd w:val="clear" w:color="auto" w:fill="FFFFFF"/>
        </w:rPr>
      </w:pPr>
      <w:r w:rsidRPr="0001083F">
        <w:rPr>
          <w:rFonts w:ascii="Verdana" w:hAnsi="Verdana"/>
          <w:sz w:val="22"/>
          <w:szCs w:val="22"/>
          <w:shd w:val="clear" w:color="auto" w:fill="FFFFFF"/>
        </w:rPr>
        <w:t xml:space="preserve">The average waiting time for all patients waiting for an ASD diagnosis as </w:t>
      </w:r>
      <w:proofErr w:type="gramStart"/>
      <w:r w:rsidRPr="0001083F">
        <w:rPr>
          <w:rFonts w:ascii="Verdana" w:hAnsi="Verdana"/>
          <w:sz w:val="22"/>
          <w:szCs w:val="22"/>
          <w:shd w:val="clear" w:color="auto" w:fill="FFFFFF"/>
        </w:rPr>
        <w:t>at</w:t>
      </w:r>
      <w:proofErr w:type="gramEnd"/>
      <w:r w:rsidRPr="0001083F">
        <w:rPr>
          <w:rFonts w:ascii="Verdana" w:hAnsi="Verdana"/>
          <w:sz w:val="22"/>
          <w:szCs w:val="22"/>
          <w:shd w:val="clear" w:color="auto" w:fill="FFFFFF"/>
        </w:rPr>
        <w:t xml:space="preserve"> 30</w:t>
      </w:r>
      <w:r w:rsidRPr="0001083F">
        <w:rPr>
          <w:rFonts w:ascii="Verdana" w:hAnsi="Verdana"/>
          <w:sz w:val="22"/>
          <w:szCs w:val="22"/>
          <w:shd w:val="clear" w:color="auto" w:fill="FFFFFF"/>
          <w:vertAlign w:val="superscript"/>
        </w:rPr>
        <w:t>th</w:t>
      </w:r>
      <w:r w:rsidRPr="0001083F">
        <w:rPr>
          <w:rFonts w:ascii="Verdana" w:hAnsi="Verdana"/>
          <w:sz w:val="22"/>
          <w:szCs w:val="22"/>
          <w:shd w:val="clear" w:color="auto" w:fill="FFFFFF"/>
        </w:rPr>
        <w:t xml:space="preserve"> June 2024 – 443 days (14 months) </w:t>
      </w:r>
    </w:p>
    <w:p w14:paraId="46D3E3BF" w14:textId="49D4F5FF" w:rsidR="00CE1695" w:rsidRDefault="00CE1695" w:rsidP="00CE1695">
      <w:pPr>
        <w:pStyle w:val="NormalWeb"/>
        <w:shd w:val="clear" w:color="auto" w:fill="FFFFFF"/>
        <w:ind w:left="505"/>
        <w:textAlignment w:val="baseline"/>
        <w:rPr>
          <w:rFonts w:ascii="Verdana" w:hAnsi="Verdana"/>
          <w:b/>
          <w:color w:val="424242"/>
          <w:sz w:val="22"/>
          <w:szCs w:val="22"/>
          <w:shd w:val="clear" w:color="auto" w:fill="FFFFFF"/>
        </w:rPr>
      </w:pPr>
    </w:p>
    <w:tbl>
      <w:tblPr>
        <w:tblpPr w:leftFromText="180" w:rightFromText="180" w:vertAnchor="text" w:horzAnchor="margin" w:tblpXSpec="center" w:tblpY="36"/>
        <w:tblW w:w="4282" w:type="dxa"/>
        <w:tblLook w:val="04A0" w:firstRow="1" w:lastRow="0" w:firstColumn="1" w:lastColumn="0" w:noHBand="0" w:noVBand="1"/>
      </w:tblPr>
      <w:tblGrid>
        <w:gridCol w:w="2014"/>
        <w:gridCol w:w="2268"/>
      </w:tblGrid>
      <w:tr w:rsidR="00CE1695" w:rsidRPr="002A624A" w14:paraId="6ED544CE" w14:textId="77777777" w:rsidTr="00CE1695">
        <w:trPr>
          <w:trHeight w:val="300"/>
        </w:trPr>
        <w:tc>
          <w:tcPr>
            <w:tcW w:w="2014" w:type="dxa"/>
            <w:tcBorders>
              <w:top w:val="single" w:sz="4" w:space="0" w:color="auto"/>
              <w:left w:val="single" w:sz="4" w:space="0" w:color="auto"/>
              <w:bottom w:val="single" w:sz="4" w:space="0" w:color="auto"/>
              <w:right w:val="single" w:sz="4" w:space="0" w:color="auto"/>
            </w:tcBorders>
            <w:shd w:val="clear" w:color="000000" w:fill="44546A"/>
            <w:noWrap/>
            <w:vAlign w:val="bottom"/>
            <w:hideMark/>
          </w:tcPr>
          <w:p w14:paraId="48496B3A" w14:textId="77777777" w:rsidR="00CE1695" w:rsidRPr="002A624A" w:rsidRDefault="00CE1695" w:rsidP="00CE1695">
            <w:pPr>
              <w:spacing w:before="0" w:after="0" w:line="240" w:lineRule="auto"/>
              <w:ind w:left="0" w:right="0"/>
              <w:rPr>
                <w:rFonts w:ascii="Calibri" w:eastAsia="Times New Roman" w:hAnsi="Calibri" w:cs="Calibri"/>
                <w:color w:val="FFFFFF"/>
                <w:sz w:val="22"/>
                <w:szCs w:val="22"/>
              </w:rPr>
            </w:pPr>
            <w:r w:rsidRPr="002A624A">
              <w:rPr>
                <w:rFonts w:ascii="Calibri" w:eastAsia="Times New Roman" w:hAnsi="Calibri" w:cs="Calibri"/>
                <w:color w:val="FFFFFF"/>
                <w:sz w:val="22"/>
                <w:szCs w:val="22"/>
              </w:rPr>
              <w:t>IAS Waiting List</w:t>
            </w:r>
          </w:p>
        </w:tc>
        <w:tc>
          <w:tcPr>
            <w:tcW w:w="2268" w:type="dxa"/>
            <w:tcBorders>
              <w:top w:val="single" w:sz="4" w:space="0" w:color="auto"/>
              <w:left w:val="nil"/>
              <w:bottom w:val="single" w:sz="4" w:space="0" w:color="auto"/>
              <w:right w:val="single" w:sz="4" w:space="0" w:color="auto"/>
            </w:tcBorders>
            <w:shd w:val="clear" w:color="000000" w:fill="44546A"/>
            <w:noWrap/>
            <w:vAlign w:val="bottom"/>
            <w:hideMark/>
          </w:tcPr>
          <w:p w14:paraId="43A367E3" w14:textId="77777777" w:rsidR="00CE1695" w:rsidRPr="002A624A" w:rsidRDefault="00CE1695" w:rsidP="00CE1695">
            <w:pPr>
              <w:spacing w:before="0" w:after="0" w:line="240" w:lineRule="auto"/>
              <w:ind w:left="0" w:right="0"/>
              <w:rPr>
                <w:rFonts w:ascii="Calibri" w:eastAsia="Times New Roman" w:hAnsi="Calibri" w:cs="Calibri"/>
                <w:color w:val="FFFFFF"/>
                <w:sz w:val="22"/>
                <w:szCs w:val="22"/>
              </w:rPr>
            </w:pPr>
            <w:r>
              <w:rPr>
                <w:rFonts w:ascii="Calibri" w:eastAsia="Times New Roman" w:hAnsi="Calibri" w:cs="Calibri"/>
                <w:color w:val="FFFFFF"/>
                <w:sz w:val="22"/>
                <w:szCs w:val="22"/>
              </w:rPr>
              <w:t>Number Waiting</w:t>
            </w:r>
          </w:p>
        </w:tc>
      </w:tr>
      <w:tr w:rsidR="00CE1695" w:rsidRPr="002A624A" w14:paraId="6F098DB2" w14:textId="77777777" w:rsidTr="00CE1695">
        <w:trPr>
          <w:trHeight w:val="300"/>
        </w:trPr>
        <w:tc>
          <w:tcPr>
            <w:tcW w:w="2014" w:type="dxa"/>
            <w:tcBorders>
              <w:top w:val="nil"/>
              <w:left w:val="single" w:sz="4" w:space="0" w:color="auto"/>
              <w:bottom w:val="single" w:sz="4" w:space="0" w:color="auto"/>
              <w:right w:val="single" w:sz="4" w:space="0" w:color="auto"/>
            </w:tcBorders>
            <w:shd w:val="clear" w:color="auto" w:fill="auto"/>
            <w:noWrap/>
            <w:vAlign w:val="bottom"/>
            <w:hideMark/>
          </w:tcPr>
          <w:p w14:paraId="06BD8EC5" w14:textId="065723F2"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 xml:space="preserve">0 - 4 </w:t>
            </w:r>
            <w:r>
              <w:rPr>
                <w:rFonts w:ascii="Calibri" w:eastAsia="Times New Roman" w:hAnsi="Calibri" w:cs="Calibri"/>
                <w:color w:val="000000"/>
                <w:sz w:val="22"/>
                <w:szCs w:val="22"/>
              </w:rPr>
              <w:t>m</w:t>
            </w:r>
            <w:r w:rsidRPr="002A624A">
              <w:rPr>
                <w:rFonts w:ascii="Calibri" w:eastAsia="Times New Roman" w:hAnsi="Calibri" w:cs="Calibri"/>
                <w:color w:val="000000"/>
                <w:sz w:val="22"/>
                <w:szCs w:val="22"/>
              </w:rPr>
              <w:t>onths</w:t>
            </w:r>
          </w:p>
        </w:tc>
        <w:tc>
          <w:tcPr>
            <w:tcW w:w="2268" w:type="dxa"/>
            <w:tcBorders>
              <w:top w:val="nil"/>
              <w:left w:val="nil"/>
              <w:bottom w:val="single" w:sz="4" w:space="0" w:color="auto"/>
              <w:right w:val="single" w:sz="4" w:space="0" w:color="auto"/>
            </w:tcBorders>
            <w:shd w:val="clear" w:color="auto" w:fill="auto"/>
            <w:noWrap/>
            <w:vAlign w:val="bottom"/>
            <w:hideMark/>
          </w:tcPr>
          <w:p w14:paraId="311ADFD4"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207</w:t>
            </w:r>
          </w:p>
        </w:tc>
      </w:tr>
      <w:tr w:rsidR="00CE1695" w:rsidRPr="002A624A" w14:paraId="3C241634" w14:textId="77777777" w:rsidTr="00CE1695">
        <w:trPr>
          <w:trHeight w:val="300"/>
        </w:trPr>
        <w:tc>
          <w:tcPr>
            <w:tcW w:w="2014" w:type="dxa"/>
            <w:tcBorders>
              <w:top w:val="nil"/>
              <w:left w:val="single" w:sz="4" w:space="0" w:color="auto"/>
              <w:bottom w:val="single" w:sz="4" w:space="0" w:color="auto"/>
              <w:right w:val="single" w:sz="4" w:space="0" w:color="auto"/>
            </w:tcBorders>
            <w:shd w:val="clear" w:color="auto" w:fill="auto"/>
            <w:noWrap/>
            <w:vAlign w:val="bottom"/>
            <w:hideMark/>
          </w:tcPr>
          <w:p w14:paraId="5C8DE305"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5 - 9 months</w:t>
            </w:r>
          </w:p>
        </w:tc>
        <w:tc>
          <w:tcPr>
            <w:tcW w:w="2268" w:type="dxa"/>
            <w:tcBorders>
              <w:top w:val="nil"/>
              <w:left w:val="nil"/>
              <w:bottom w:val="single" w:sz="4" w:space="0" w:color="auto"/>
              <w:right w:val="single" w:sz="4" w:space="0" w:color="auto"/>
            </w:tcBorders>
            <w:shd w:val="clear" w:color="auto" w:fill="auto"/>
            <w:noWrap/>
            <w:vAlign w:val="bottom"/>
            <w:hideMark/>
          </w:tcPr>
          <w:p w14:paraId="4A4B0C4F"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231</w:t>
            </w:r>
          </w:p>
        </w:tc>
      </w:tr>
      <w:tr w:rsidR="00CE1695" w:rsidRPr="002A624A" w14:paraId="23DFB474" w14:textId="77777777" w:rsidTr="00CE1695">
        <w:trPr>
          <w:trHeight w:val="300"/>
        </w:trPr>
        <w:tc>
          <w:tcPr>
            <w:tcW w:w="2014" w:type="dxa"/>
            <w:tcBorders>
              <w:top w:val="nil"/>
              <w:left w:val="single" w:sz="4" w:space="0" w:color="auto"/>
              <w:bottom w:val="single" w:sz="4" w:space="0" w:color="auto"/>
              <w:right w:val="single" w:sz="4" w:space="0" w:color="auto"/>
            </w:tcBorders>
            <w:shd w:val="clear" w:color="auto" w:fill="auto"/>
            <w:noWrap/>
            <w:vAlign w:val="bottom"/>
            <w:hideMark/>
          </w:tcPr>
          <w:p w14:paraId="4F74AB1F"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10-14 months</w:t>
            </w:r>
          </w:p>
        </w:tc>
        <w:tc>
          <w:tcPr>
            <w:tcW w:w="2268" w:type="dxa"/>
            <w:tcBorders>
              <w:top w:val="nil"/>
              <w:left w:val="nil"/>
              <w:bottom w:val="single" w:sz="4" w:space="0" w:color="auto"/>
              <w:right w:val="single" w:sz="4" w:space="0" w:color="auto"/>
            </w:tcBorders>
            <w:shd w:val="clear" w:color="auto" w:fill="auto"/>
            <w:noWrap/>
            <w:vAlign w:val="bottom"/>
            <w:hideMark/>
          </w:tcPr>
          <w:p w14:paraId="49D5A31F"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288</w:t>
            </w:r>
          </w:p>
        </w:tc>
      </w:tr>
      <w:tr w:rsidR="00CE1695" w:rsidRPr="002A624A" w14:paraId="56AF35A5" w14:textId="77777777" w:rsidTr="00CE1695">
        <w:trPr>
          <w:trHeight w:val="300"/>
        </w:trPr>
        <w:tc>
          <w:tcPr>
            <w:tcW w:w="2014" w:type="dxa"/>
            <w:tcBorders>
              <w:top w:val="nil"/>
              <w:left w:val="single" w:sz="4" w:space="0" w:color="auto"/>
              <w:bottom w:val="single" w:sz="4" w:space="0" w:color="auto"/>
              <w:right w:val="single" w:sz="4" w:space="0" w:color="auto"/>
            </w:tcBorders>
            <w:shd w:val="clear" w:color="auto" w:fill="auto"/>
            <w:noWrap/>
            <w:vAlign w:val="bottom"/>
            <w:hideMark/>
          </w:tcPr>
          <w:p w14:paraId="581A97F6"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15-19 months</w:t>
            </w:r>
          </w:p>
        </w:tc>
        <w:tc>
          <w:tcPr>
            <w:tcW w:w="2268" w:type="dxa"/>
            <w:tcBorders>
              <w:top w:val="nil"/>
              <w:left w:val="nil"/>
              <w:bottom w:val="single" w:sz="4" w:space="0" w:color="auto"/>
              <w:right w:val="single" w:sz="4" w:space="0" w:color="auto"/>
            </w:tcBorders>
            <w:shd w:val="clear" w:color="auto" w:fill="auto"/>
            <w:noWrap/>
            <w:vAlign w:val="bottom"/>
            <w:hideMark/>
          </w:tcPr>
          <w:p w14:paraId="0F449FB2"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223</w:t>
            </w:r>
          </w:p>
        </w:tc>
      </w:tr>
      <w:tr w:rsidR="00CE1695" w:rsidRPr="002A624A" w14:paraId="305A6D63" w14:textId="77777777" w:rsidTr="00CE1695">
        <w:trPr>
          <w:trHeight w:val="300"/>
        </w:trPr>
        <w:tc>
          <w:tcPr>
            <w:tcW w:w="2014" w:type="dxa"/>
            <w:tcBorders>
              <w:top w:val="nil"/>
              <w:left w:val="single" w:sz="4" w:space="0" w:color="auto"/>
              <w:bottom w:val="single" w:sz="4" w:space="0" w:color="auto"/>
              <w:right w:val="single" w:sz="4" w:space="0" w:color="auto"/>
            </w:tcBorders>
            <w:shd w:val="clear" w:color="auto" w:fill="auto"/>
            <w:noWrap/>
            <w:vAlign w:val="bottom"/>
            <w:hideMark/>
          </w:tcPr>
          <w:p w14:paraId="1AA9EDCF"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20-24 months</w:t>
            </w:r>
          </w:p>
        </w:tc>
        <w:tc>
          <w:tcPr>
            <w:tcW w:w="2268" w:type="dxa"/>
            <w:tcBorders>
              <w:top w:val="nil"/>
              <w:left w:val="nil"/>
              <w:bottom w:val="single" w:sz="4" w:space="0" w:color="auto"/>
              <w:right w:val="single" w:sz="4" w:space="0" w:color="auto"/>
            </w:tcBorders>
            <w:shd w:val="clear" w:color="auto" w:fill="auto"/>
            <w:noWrap/>
            <w:vAlign w:val="bottom"/>
            <w:hideMark/>
          </w:tcPr>
          <w:p w14:paraId="0414E323"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217</w:t>
            </w:r>
          </w:p>
        </w:tc>
      </w:tr>
      <w:tr w:rsidR="00CE1695" w:rsidRPr="002A624A" w14:paraId="22341CEA" w14:textId="77777777" w:rsidTr="00CE1695">
        <w:trPr>
          <w:trHeight w:val="300"/>
        </w:trPr>
        <w:tc>
          <w:tcPr>
            <w:tcW w:w="2014" w:type="dxa"/>
            <w:tcBorders>
              <w:top w:val="nil"/>
              <w:left w:val="single" w:sz="4" w:space="0" w:color="auto"/>
              <w:bottom w:val="single" w:sz="4" w:space="0" w:color="auto"/>
              <w:right w:val="single" w:sz="4" w:space="0" w:color="auto"/>
            </w:tcBorders>
            <w:shd w:val="clear" w:color="auto" w:fill="auto"/>
            <w:noWrap/>
            <w:vAlign w:val="bottom"/>
            <w:hideMark/>
          </w:tcPr>
          <w:p w14:paraId="1823473C"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25-29 months</w:t>
            </w:r>
          </w:p>
        </w:tc>
        <w:tc>
          <w:tcPr>
            <w:tcW w:w="2268" w:type="dxa"/>
            <w:tcBorders>
              <w:top w:val="nil"/>
              <w:left w:val="nil"/>
              <w:bottom w:val="single" w:sz="4" w:space="0" w:color="auto"/>
              <w:right w:val="single" w:sz="4" w:space="0" w:color="auto"/>
            </w:tcBorders>
            <w:shd w:val="clear" w:color="auto" w:fill="auto"/>
            <w:noWrap/>
            <w:vAlign w:val="bottom"/>
            <w:hideMark/>
          </w:tcPr>
          <w:p w14:paraId="1C707B3A"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192</w:t>
            </w:r>
          </w:p>
        </w:tc>
      </w:tr>
      <w:tr w:rsidR="00CE1695" w:rsidRPr="002A624A" w14:paraId="791E26AD" w14:textId="77777777" w:rsidTr="00CE1695">
        <w:trPr>
          <w:trHeight w:val="300"/>
        </w:trPr>
        <w:tc>
          <w:tcPr>
            <w:tcW w:w="2014" w:type="dxa"/>
            <w:tcBorders>
              <w:top w:val="nil"/>
              <w:left w:val="single" w:sz="4" w:space="0" w:color="auto"/>
              <w:bottom w:val="single" w:sz="4" w:space="0" w:color="auto"/>
              <w:right w:val="single" w:sz="4" w:space="0" w:color="auto"/>
            </w:tcBorders>
            <w:shd w:val="clear" w:color="auto" w:fill="auto"/>
            <w:noWrap/>
            <w:vAlign w:val="bottom"/>
            <w:hideMark/>
          </w:tcPr>
          <w:p w14:paraId="4446035E"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30-33 months</w:t>
            </w:r>
          </w:p>
        </w:tc>
        <w:tc>
          <w:tcPr>
            <w:tcW w:w="2268" w:type="dxa"/>
            <w:tcBorders>
              <w:top w:val="nil"/>
              <w:left w:val="nil"/>
              <w:bottom w:val="single" w:sz="4" w:space="0" w:color="auto"/>
              <w:right w:val="single" w:sz="4" w:space="0" w:color="auto"/>
            </w:tcBorders>
            <w:shd w:val="clear" w:color="auto" w:fill="auto"/>
            <w:noWrap/>
            <w:vAlign w:val="bottom"/>
            <w:hideMark/>
          </w:tcPr>
          <w:p w14:paraId="4CFBF621" w14:textId="77777777" w:rsidR="00CE1695" w:rsidRPr="002A624A" w:rsidRDefault="00CE1695" w:rsidP="00CE1695">
            <w:pPr>
              <w:spacing w:before="0" w:after="0" w:line="240" w:lineRule="auto"/>
              <w:ind w:left="0" w:right="0"/>
              <w:rPr>
                <w:rFonts w:ascii="Calibri" w:eastAsia="Times New Roman" w:hAnsi="Calibri" w:cs="Calibri"/>
                <w:color w:val="000000"/>
                <w:sz w:val="22"/>
                <w:szCs w:val="22"/>
              </w:rPr>
            </w:pPr>
            <w:r w:rsidRPr="002A624A">
              <w:rPr>
                <w:rFonts w:ascii="Calibri" w:eastAsia="Times New Roman" w:hAnsi="Calibri" w:cs="Calibri"/>
                <w:color w:val="000000"/>
                <w:sz w:val="22"/>
                <w:szCs w:val="22"/>
              </w:rPr>
              <w:t>34</w:t>
            </w:r>
          </w:p>
        </w:tc>
      </w:tr>
      <w:tr w:rsidR="00CE1695" w:rsidRPr="002A624A" w14:paraId="23A8843A" w14:textId="77777777" w:rsidTr="00CE1695">
        <w:trPr>
          <w:trHeight w:val="300"/>
        </w:trPr>
        <w:tc>
          <w:tcPr>
            <w:tcW w:w="2014" w:type="dxa"/>
            <w:tcBorders>
              <w:top w:val="nil"/>
              <w:left w:val="single" w:sz="4" w:space="0" w:color="auto"/>
              <w:bottom w:val="single" w:sz="4" w:space="0" w:color="auto"/>
              <w:right w:val="single" w:sz="4" w:space="0" w:color="auto"/>
            </w:tcBorders>
            <w:shd w:val="clear" w:color="DDEBF7" w:fill="DDEBF7"/>
            <w:noWrap/>
            <w:vAlign w:val="bottom"/>
            <w:hideMark/>
          </w:tcPr>
          <w:p w14:paraId="14BEC11F" w14:textId="77777777" w:rsidR="00CE1695" w:rsidRPr="002A624A" w:rsidRDefault="00CE1695" w:rsidP="00CE1695">
            <w:pPr>
              <w:spacing w:before="0" w:after="0" w:line="240" w:lineRule="auto"/>
              <w:ind w:left="0" w:right="0"/>
              <w:rPr>
                <w:rFonts w:eastAsia="Times New Roman"/>
                <w:b/>
                <w:bCs/>
                <w:color w:val="000000"/>
                <w:sz w:val="20"/>
                <w:szCs w:val="20"/>
              </w:rPr>
            </w:pPr>
            <w:r w:rsidRPr="002A624A">
              <w:rPr>
                <w:rFonts w:eastAsia="Times New Roman"/>
                <w:b/>
                <w:bCs/>
                <w:color w:val="000000"/>
                <w:sz w:val="20"/>
                <w:szCs w:val="20"/>
              </w:rPr>
              <w:t>Total</w:t>
            </w:r>
          </w:p>
        </w:tc>
        <w:tc>
          <w:tcPr>
            <w:tcW w:w="2268" w:type="dxa"/>
            <w:tcBorders>
              <w:top w:val="nil"/>
              <w:left w:val="nil"/>
              <w:bottom w:val="single" w:sz="4" w:space="0" w:color="auto"/>
              <w:right w:val="single" w:sz="4" w:space="0" w:color="auto"/>
            </w:tcBorders>
            <w:shd w:val="clear" w:color="DDEBF7" w:fill="DDEBF7"/>
            <w:noWrap/>
            <w:vAlign w:val="bottom"/>
            <w:hideMark/>
          </w:tcPr>
          <w:p w14:paraId="750388EB" w14:textId="77777777" w:rsidR="00CE1695" w:rsidRPr="002A624A" w:rsidRDefault="00CE1695" w:rsidP="00CE1695">
            <w:pPr>
              <w:spacing w:before="0" w:after="0" w:line="240" w:lineRule="auto"/>
              <w:ind w:left="0" w:right="0"/>
              <w:rPr>
                <w:rFonts w:eastAsia="Times New Roman"/>
                <w:b/>
                <w:bCs/>
                <w:color w:val="000000"/>
                <w:sz w:val="20"/>
                <w:szCs w:val="20"/>
              </w:rPr>
            </w:pPr>
            <w:r w:rsidRPr="002A624A">
              <w:rPr>
                <w:rFonts w:eastAsia="Times New Roman"/>
                <w:b/>
                <w:bCs/>
                <w:color w:val="000000"/>
                <w:sz w:val="20"/>
                <w:szCs w:val="20"/>
              </w:rPr>
              <w:t>1392</w:t>
            </w:r>
          </w:p>
        </w:tc>
      </w:tr>
    </w:tbl>
    <w:p w14:paraId="09EE08CA" w14:textId="77777777" w:rsidR="00CE1695" w:rsidRPr="00CE1695" w:rsidRDefault="00CE1695" w:rsidP="00CE1695">
      <w:pPr>
        <w:pStyle w:val="NormalWeb"/>
        <w:shd w:val="clear" w:color="auto" w:fill="FFFFFF"/>
        <w:ind w:left="505"/>
        <w:textAlignment w:val="baseline"/>
        <w:rPr>
          <w:rFonts w:ascii="Verdana" w:eastAsia="Times New Roman" w:hAnsi="Verdana" w:cs="Segoe UI"/>
          <w:b/>
          <w:color w:val="424242"/>
          <w:sz w:val="22"/>
          <w:szCs w:val="22"/>
        </w:rPr>
      </w:pPr>
    </w:p>
    <w:p w14:paraId="3E4B89E8" w14:textId="77777777" w:rsidR="00286642" w:rsidRPr="00CE1695" w:rsidRDefault="00286642" w:rsidP="00DC0D5A">
      <w:pPr>
        <w:spacing w:before="280"/>
        <w:rPr>
          <w:rFonts w:ascii="Verdana" w:hAnsi="Verdana"/>
          <w:b/>
          <w:sz w:val="22"/>
          <w:szCs w:val="22"/>
        </w:rPr>
      </w:pP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4CC3C" w14:textId="77777777" w:rsidR="00D12166" w:rsidRDefault="00D12166" w:rsidP="007D6A3E">
      <w:pPr>
        <w:spacing w:before="0" w:after="0" w:line="240" w:lineRule="auto"/>
      </w:pPr>
      <w:r>
        <w:separator/>
      </w:r>
    </w:p>
  </w:endnote>
  <w:endnote w:type="continuationSeparator" w:id="0">
    <w:p w14:paraId="08012FD9" w14:textId="77777777" w:rsidR="00D12166" w:rsidRDefault="00D12166"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5A49180" w14:textId="37FAC38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1083F">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06500" w14:textId="77777777" w:rsidR="00D12166" w:rsidRDefault="00D12166" w:rsidP="007D6A3E">
      <w:pPr>
        <w:spacing w:before="0" w:after="0" w:line="240" w:lineRule="auto"/>
      </w:pPr>
      <w:r>
        <w:separator/>
      </w:r>
    </w:p>
  </w:footnote>
  <w:footnote w:type="continuationSeparator" w:id="0">
    <w:p w14:paraId="7839EB92" w14:textId="77777777" w:rsidR="00D12166" w:rsidRDefault="00D12166"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0" type="#_x0000_t75" style="width:20.5pt;height:20.5pt;visibility:visible;mso-wrap-style:square" o:bullet="t">
        <v:imagedata r:id="rId1" o:title=""/>
      </v:shape>
    </w:pict>
  </w:numPicBullet>
  <w:numPicBullet w:numPicBulletId="1">
    <w:pict>
      <v:shape id="_x0000_i1191" type="#_x0000_t75" style="width:382.5pt;height:382.5pt;visibility:visible;mso-wrap-style:square" o:bullet="t">
        <v:imagedata r:id="rId2" o:title=""/>
      </v:shape>
    </w:pict>
  </w:numPicBullet>
  <w:numPicBullet w:numPicBulletId="2">
    <w:pict>
      <v:shape id="_x0000_i1192" type="#_x0000_t75" style="width:225.5pt;height:225.5pt;visibility:visible;mso-wrap-style:square" o:bullet="t">
        <v:imagedata r:id="rId3" o:title=""/>
      </v:shape>
    </w:pict>
  </w:numPicBullet>
  <w:numPicBullet w:numPicBulletId="3">
    <w:pict>
      <v:shape id="_x0000_i119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2955DF8"/>
    <w:multiLevelType w:val="hybridMultilevel"/>
    <w:tmpl w:val="F2DCA43C"/>
    <w:lvl w:ilvl="0" w:tplc="6C847B1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5968252">
    <w:abstractNumId w:val="14"/>
  </w:num>
  <w:num w:numId="2" w16cid:durableId="388921134">
    <w:abstractNumId w:val="0"/>
  </w:num>
  <w:num w:numId="3" w16cid:durableId="750347737">
    <w:abstractNumId w:val="8"/>
  </w:num>
  <w:num w:numId="4" w16cid:durableId="51924473">
    <w:abstractNumId w:val="16"/>
  </w:num>
  <w:num w:numId="5" w16cid:durableId="1969629772">
    <w:abstractNumId w:val="4"/>
  </w:num>
  <w:num w:numId="6" w16cid:durableId="1617175017">
    <w:abstractNumId w:val="3"/>
  </w:num>
  <w:num w:numId="7" w16cid:durableId="1353337967">
    <w:abstractNumId w:val="10"/>
  </w:num>
  <w:num w:numId="8" w16cid:durableId="1823232578">
    <w:abstractNumId w:val="15"/>
  </w:num>
  <w:num w:numId="9" w16cid:durableId="544832772">
    <w:abstractNumId w:val="18"/>
  </w:num>
  <w:num w:numId="10" w16cid:durableId="374045736">
    <w:abstractNumId w:val="1"/>
  </w:num>
  <w:num w:numId="11" w16cid:durableId="878202830">
    <w:abstractNumId w:val="9"/>
  </w:num>
  <w:num w:numId="12" w16cid:durableId="1981224953">
    <w:abstractNumId w:val="13"/>
  </w:num>
  <w:num w:numId="13" w16cid:durableId="583033011">
    <w:abstractNumId w:val="17"/>
  </w:num>
  <w:num w:numId="14" w16cid:durableId="95676025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8098048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25459092">
    <w:abstractNumId w:val="11"/>
  </w:num>
  <w:num w:numId="17" w16cid:durableId="576675129">
    <w:abstractNumId w:val="5"/>
  </w:num>
  <w:num w:numId="18" w16cid:durableId="260574741">
    <w:abstractNumId w:val="2"/>
  </w:num>
  <w:num w:numId="19" w16cid:durableId="141612918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083F"/>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2436"/>
    <w:rsid w:val="00AF0E8B"/>
    <w:rsid w:val="00AF691A"/>
    <w:rsid w:val="00B031C2"/>
    <w:rsid w:val="00B34966"/>
    <w:rsid w:val="00B61DE2"/>
    <w:rsid w:val="00B73D24"/>
    <w:rsid w:val="00B82C9E"/>
    <w:rsid w:val="00B8458F"/>
    <w:rsid w:val="00BB4931"/>
    <w:rsid w:val="00BC67E1"/>
    <w:rsid w:val="00BE093F"/>
    <w:rsid w:val="00C021A4"/>
    <w:rsid w:val="00C050BE"/>
    <w:rsid w:val="00C75A00"/>
    <w:rsid w:val="00C925C6"/>
    <w:rsid w:val="00CA07E3"/>
    <w:rsid w:val="00CB2BBE"/>
    <w:rsid w:val="00CE1516"/>
    <w:rsid w:val="00CE1695"/>
    <w:rsid w:val="00CE325E"/>
    <w:rsid w:val="00CE3DBC"/>
    <w:rsid w:val="00D12166"/>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35906203">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9A4772-672A-4D94-8AB7-4A377B0F7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1</Pages>
  <Words>230</Words>
  <Characters>1313</Characters>
  <Application>Microsoft Office Word</Application>
  <DocSecurity>4</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2024-07-19T11:29:00Z</dcterms:created>
  <dcterms:modified xsi:type="dcterms:W3CDTF">2024-07-19T11:29:00Z</dcterms:modified>
</cp:coreProperties>
</file>