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3444CF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97A6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24-E-049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3444CF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97A6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24-E-049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0428D1A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Please may you provide me with:</w:t>
      </w:r>
    </w:p>
    <w:p w14:paraId="5B027F17" w14:textId="32831D80" w:rsidR="00E175FE" w:rsidRPr="00E175FE" w:rsidRDefault="00E175FE" w:rsidP="009D0B2A">
      <w:pPr>
        <w:spacing w:before="280"/>
        <w:ind w:left="585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 xml:space="preserve">1.     Copies of all policies related to violence by patients and/or their </w:t>
      </w:r>
      <w:r w:rsidR="009D0B2A">
        <w:rPr>
          <w:rFonts w:ascii="Verdana" w:hAnsi="Verdana"/>
          <w:b/>
          <w:sz w:val="22"/>
        </w:rPr>
        <w:t xml:space="preserve"> </w:t>
      </w:r>
      <w:r w:rsidRPr="00E175FE">
        <w:rPr>
          <w:rFonts w:ascii="Verdana" w:hAnsi="Verdana"/>
          <w:b/>
          <w:sz w:val="22"/>
        </w:rPr>
        <w:t>visitors against staff. Please include all policies related to the following:</w:t>
      </w:r>
    </w:p>
    <w:p w14:paraId="09D26B4D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·         Any physical, verbal, or sexual aggression, assault, or stalking.</w:t>
      </w:r>
    </w:p>
    <w:p w14:paraId="686B298F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·         Violence both experienced and witnessed by staff.</w:t>
      </w:r>
    </w:p>
    <w:p w14:paraId="722642D0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·         Any separate policies for different types of violence, different staff groups, or different phases of violence, e.g. during and following the event.</w:t>
      </w:r>
    </w:p>
    <w:p w14:paraId="40DE2D08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 xml:space="preserve"> </w:t>
      </w:r>
    </w:p>
    <w:p w14:paraId="26727555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2.     Copies of all policies/procedures related to the following post-violence measures, if not included within the above (1):</w:t>
      </w:r>
    </w:p>
    <w:p w14:paraId="100C0729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·         Immediate sanctions for aggressor(s) (e.g. discharge)</w:t>
      </w:r>
    </w:p>
    <w:p w14:paraId="387B7C19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·         Processes for incident reporting</w:t>
      </w:r>
    </w:p>
    <w:p w14:paraId="74549A81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·         Processes for debrief with staff member(s) and/or aggressor(s)</w:t>
      </w:r>
    </w:p>
    <w:p w14:paraId="6CB83561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·         Follow-up with aggressor(s) (e.g. accountability letter, behaviour contract)</w:t>
      </w:r>
    </w:p>
    <w:p w14:paraId="71E4C771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·         Counselling or similar longer-term psychological support for staff member(s)</w:t>
      </w:r>
    </w:p>
    <w:p w14:paraId="70C427F8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·         Incident investigation (e.g. root cause analysis) and feedback to relevant parties</w:t>
      </w:r>
    </w:p>
    <w:p w14:paraId="303E40EB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lastRenderedPageBreak/>
        <w:t>·         Longer-term sanctions for aggressor(s) (e.g. card system)</w:t>
      </w:r>
    </w:p>
    <w:p w14:paraId="5F4D3988" w14:textId="77777777" w:rsidR="00E175FE" w:rsidRPr="00E175FE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·         Examples of processes for tailored management plans for patients with a known history of aggressive behaviour (including use of a flag/alert system)</w:t>
      </w:r>
    </w:p>
    <w:p w14:paraId="3E4B89E8" w14:textId="30A4FF28" w:rsidR="00286642" w:rsidRDefault="00E175FE" w:rsidP="00E175FE">
      <w:pPr>
        <w:spacing w:before="280"/>
        <w:rPr>
          <w:rFonts w:ascii="Verdana" w:hAnsi="Verdana"/>
          <w:b/>
          <w:sz w:val="22"/>
        </w:rPr>
      </w:pPr>
      <w:r w:rsidRPr="00E175FE">
        <w:rPr>
          <w:rFonts w:ascii="Verdana" w:hAnsi="Verdana"/>
          <w:b/>
          <w:sz w:val="22"/>
        </w:rPr>
        <w:t>·         Staff sickness absence and/or returning to work following work-related injury</w:t>
      </w:r>
    </w:p>
    <w:p w14:paraId="3BBA30F3" w14:textId="77777777" w:rsidR="00581EC6" w:rsidRDefault="00581EC6" w:rsidP="00DC0D5A">
      <w:pPr>
        <w:spacing w:before="280"/>
        <w:rPr>
          <w:rFonts w:ascii="Verdana" w:hAnsi="Verdana"/>
          <w:b/>
          <w:sz w:val="22"/>
        </w:rPr>
      </w:pPr>
    </w:p>
    <w:p w14:paraId="77BFC848" w14:textId="77777777" w:rsidR="00581EC6" w:rsidRDefault="00581EC6" w:rsidP="00DC0D5A">
      <w:pPr>
        <w:spacing w:before="280"/>
        <w:rPr>
          <w:rFonts w:ascii="Verdana" w:hAnsi="Verdana"/>
          <w:b/>
          <w:sz w:val="22"/>
        </w:rPr>
      </w:pPr>
    </w:p>
    <w:p w14:paraId="58B2F4E3" w14:textId="70F4BB3B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4DBAD365" w14:textId="77777777" w:rsidR="00581EC6" w:rsidRDefault="00581EC6" w:rsidP="00DC0D5A">
      <w:pPr>
        <w:spacing w:before="280"/>
      </w:pPr>
    </w:p>
    <w:p w14:paraId="23DF621B" w14:textId="1F5CC536" w:rsidR="00873328" w:rsidRPr="009D0B2A" w:rsidRDefault="00581EC6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Please see </w:t>
      </w:r>
      <w:r w:rsidR="009D0B2A" w:rsidRPr="009D0B2A">
        <w:rPr>
          <w:rFonts w:ascii="Verdana" w:hAnsi="Verdana"/>
          <w:noProof/>
          <w:sz w:val="22"/>
          <w:szCs w:val="22"/>
        </w:rPr>
        <w:t>Appe</w:t>
      </w:r>
      <w:r w:rsidR="009D0B2A">
        <w:rPr>
          <w:rFonts w:ascii="Verdana" w:hAnsi="Verdana"/>
          <w:noProof/>
          <w:sz w:val="22"/>
          <w:szCs w:val="22"/>
        </w:rPr>
        <w:t xml:space="preserve">ndix 1 </w:t>
      </w:r>
      <w:r>
        <w:rPr>
          <w:rFonts w:ascii="Verdana" w:hAnsi="Verdana"/>
          <w:noProof/>
          <w:sz w:val="22"/>
          <w:szCs w:val="22"/>
        </w:rPr>
        <w:t>–</w:t>
      </w:r>
      <w:r w:rsidR="009D0B2A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>6 for the policies that we hold.</w:t>
      </w:r>
      <w:r w:rsidR="00325F29">
        <w:rPr>
          <w:rFonts w:ascii="Verdana" w:hAnsi="Verdana"/>
          <w:noProof/>
          <w:sz w:val="22"/>
          <w:szCs w:val="22"/>
        </w:rPr>
        <w:t xml:space="preserve">  Please note that any policies that have exceeded their review date, remain extant.  The Managing Attendance at Work Policy in particular, is a national policy</w:t>
      </w:r>
      <w:r w:rsidR="00133968">
        <w:rPr>
          <w:rFonts w:ascii="Verdana" w:hAnsi="Verdana"/>
          <w:noProof/>
          <w:sz w:val="22"/>
          <w:szCs w:val="22"/>
        </w:rPr>
        <w:t xml:space="preserve">, </w:t>
      </w:r>
      <w:r w:rsidR="00325F29">
        <w:rPr>
          <w:rFonts w:ascii="Verdana" w:hAnsi="Verdana"/>
          <w:noProof/>
          <w:sz w:val="22"/>
          <w:szCs w:val="22"/>
        </w:rPr>
        <w:t>therefore</w:t>
      </w:r>
      <w:r w:rsidR="00133968">
        <w:rPr>
          <w:rFonts w:ascii="Verdana" w:hAnsi="Verdana"/>
          <w:noProof/>
          <w:sz w:val="22"/>
          <w:szCs w:val="22"/>
        </w:rPr>
        <w:t>,</w:t>
      </w:r>
      <w:r w:rsidR="00325F29">
        <w:rPr>
          <w:rFonts w:ascii="Verdana" w:hAnsi="Verdana"/>
          <w:noProof/>
          <w:sz w:val="22"/>
          <w:szCs w:val="22"/>
        </w:rPr>
        <w:t xml:space="preserve"> the </w:t>
      </w:r>
      <w:r w:rsidR="00133968">
        <w:rPr>
          <w:rFonts w:ascii="Verdana" w:hAnsi="Verdana"/>
          <w:noProof/>
          <w:sz w:val="22"/>
          <w:szCs w:val="22"/>
        </w:rPr>
        <w:t>H</w:t>
      </w:r>
      <w:r w:rsidR="00325F29">
        <w:rPr>
          <w:rFonts w:ascii="Verdana" w:hAnsi="Verdana"/>
          <w:noProof/>
          <w:sz w:val="22"/>
          <w:szCs w:val="22"/>
        </w:rPr>
        <w:t xml:space="preserve">ealth </w:t>
      </w:r>
      <w:r w:rsidR="00133968">
        <w:rPr>
          <w:rFonts w:ascii="Verdana" w:hAnsi="Verdana"/>
          <w:noProof/>
          <w:sz w:val="22"/>
          <w:szCs w:val="22"/>
        </w:rPr>
        <w:t>B</w:t>
      </w:r>
      <w:r w:rsidR="00325F29">
        <w:rPr>
          <w:rFonts w:ascii="Verdana" w:hAnsi="Verdana"/>
          <w:noProof/>
          <w:sz w:val="22"/>
          <w:szCs w:val="22"/>
        </w:rPr>
        <w:t>oard is awaiting a national review of this.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3CE3D24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20A4A24C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25F29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9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9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6255857">
    <w:abstractNumId w:val="13"/>
  </w:num>
  <w:num w:numId="2" w16cid:durableId="1320039633">
    <w:abstractNumId w:val="0"/>
  </w:num>
  <w:num w:numId="3" w16cid:durableId="1971326969">
    <w:abstractNumId w:val="8"/>
  </w:num>
  <w:num w:numId="4" w16cid:durableId="628898165">
    <w:abstractNumId w:val="15"/>
  </w:num>
  <w:num w:numId="5" w16cid:durableId="2070609934">
    <w:abstractNumId w:val="4"/>
  </w:num>
  <w:num w:numId="6" w16cid:durableId="598755088">
    <w:abstractNumId w:val="3"/>
  </w:num>
  <w:num w:numId="7" w16cid:durableId="612053782">
    <w:abstractNumId w:val="10"/>
  </w:num>
  <w:num w:numId="8" w16cid:durableId="248193393">
    <w:abstractNumId w:val="14"/>
  </w:num>
  <w:num w:numId="9" w16cid:durableId="1709840800">
    <w:abstractNumId w:val="17"/>
  </w:num>
  <w:num w:numId="10" w16cid:durableId="1208761675">
    <w:abstractNumId w:val="1"/>
  </w:num>
  <w:num w:numId="11" w16cid:durableId="1401976413">
    <w:abstractNumId w:val="9"/>
  </w:num>
  <w:num w:numId="12" w16cid:durableId="1209955126">
    <w:abstractNumId w:val="12"/>
  </w:num>
  <w:num w:numId="13" w16cid:durableId="343869186">
    <w:abstractNumId w:val="16"/>
  </w:num>
  <w:num w:numId="14" w16cid:durableId="9166741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045337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03526568">
    <w:abstractNumId w:val="11"/>
  </w:num>
  <w:num w:numId="17" w16cid:durableId="1210655102">
    <w:abstractNumId w:val="5"/>
  </w:num>
  <w:num w:numId="18" w16cid:durableId="3913448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33968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5F29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81EC6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0B2A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175FE"/>
    <w:rsid w:val="00E26720"/>
    <w:rsid w:val="00E545D8"/>
    <w:rsid w:val="00E817B3"/>
    <w:rsid w:val="00E90BC7"/>
    <w:rsid w:val="00EE0615"/>
    <w:rsid w:val="00F26B29"/>
    <w:rsid w:val="00F91A7E"/>
    <w:rsid w:val="00F96598"/>
    <w:rsid w:val="00F97A63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CE67EB-E2D3-4AE3-8F41-B4001DEB4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2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25</cp:revision>
  <cp:lastPrinted>2019-03-26T11:11:00Z</cp:lastPrinted>
  <dcterms:created xsi:type="dcterms:W3CDTF">2021-09-13T07:38:00Z</dcterms:created>
  <dcterms:modified xsi:type="dcterms:W3CDTF">2024-06-19T12:06:00Z</dcterms:modified>
</cp:coreProperties>
</file>