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1AF61A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A190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24-K-034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1AF61A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A190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24-K-034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57F5559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4365A5" w:rsidRPr="004365A5">
        <w:rPr>
          <w:rFonts w:ascii="Verdana" w:hAnsi="Verdana"/>
          <w:bCs/>
          <w:sz w:val="22"/>
        </w:rPr>
        <w:t>We have provided the information requested for the period August to October 2024 inclusive.</w:t>
      </w:r>
      <w:r w:rsidR="004365A5">
        <w:rPr>
          <w:rFonts w:ascii="Verdana" w:hAnsi="Verdana"/>
          <w:b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0E7EA74" w14:textId="4FF507A6" w:rsidR="001A1909" w:rsidRPr="001A1909" w:rsidRDefault="001A1909" w:rsidP="001A190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 xml:space="preserve">How many early-stage (non-metastatic or Stages 1-3) non-small cell lung cancer (NSCLC) patients were treated in the </w:t>
      </w:r>
      <w:commentRangeStart w:id="0"/>
      <w:r w:rsidRPr="001A1909">
        <w:rPr>
          <w:rFonts w:ascii="Verdana" w:hAnsi="Verdana"/>
          <w:b/>
          <w:bCs/>
          <w:noProof/>
          <w:sz w:val="22"/>
          <w:szCs w:val="22"/>
        </w:rPr>
        <w:t>past 3 months</w:t>
      </w:r>
      <w:commentRangeEnd w:id="0"/>
      <w:r w:rsidR="00914B87">
        <w:rPr>
          <w:rStyle w:val="CommentReference"/>
        </w:rPr>
        <w:commentReference w:id="0"/>
      </w:r>
      <w:r w:rsidRPr="001A1909">
        <w:rPr>
          <w:rFonts w:ascii="Verdana" w:hAnsi="Verdana"/>
          <w:b/>
          <w:bCs/>
          <w:noProof/>
          <w:sz w:val="22"/>
          <w:szCs w:val="22"/>
        </w:rPr>
        <w:t xml:space="preserve"> with: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3C1A5ECC" w14:textId="3B710D95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Atezolizumab (Tecentriq)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- 0</w:t>
      </w:r>
    </w:p>
    <w:p w14:paraId="5AB39F36" w14:textId="48F4D304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Durvalumab (Imfinzi)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&lt;5*</w:t>
      </w:r>
    </w:p>
    <w:p w14:paraId="37EFB20F" w14:textId="5EDAA683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Nivolumab (Opdivo)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&lt;5*</w:t>
      </w:r>
    </w:p>
    <w:p w14:paraId="018EC251" w14:textId="0946888D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Pembrolizumab (Keytruda)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&lt;5*</w:t>
      </w:r>
    </w:p>
    <w:p w14:paraId="5CC1613C" w14:textId="275F9F67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Chemotherapy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- 21</w:t>
      </w:r>
    </w:p>
    <w:p w14:paraId="01BC2367" w14:textId="56C9F1BE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Radiotherapy</w:t>
      </w:r>
      <w:r>
        <w:rPr>
          <w:rFonts w:ascii="Verdana" w:hAnsi="Verdana"/>
          <w:b/>
          <w:bCs/>
          <w:noProof/>
          <w:sz w:val="22"/>
          <w:szCs w:val="22"/>
        </w:rPr>
        <w:t xml:space="preserve"> - **</w:t>
      </w:r>
    </w:p>
    <w:p w14:paraId="29A6D4E0" w14:textId="4C738A90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Chemotherapy AND Radiotherapy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&lt;5*</w:t>
      </w:r>
    </w:p>
    <w:p w14:paraId="00416089" w14:textId="5F3F5A48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Osimertinib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&lt;5*</w:t>
      </w:r>
    </w:p>
    <w:p w14:paraId="67211300" w14:textId="77777777" w:rsidR="001A1909" w:rsidRPr="001A1909" w:rsidRDefault="001A1909" w:rsidP="001A1909">
      <w:pPr>
        <w:rPr>
          <w:rFonts w:ascii="Verdana" w:hAnsi="Verdana"/>
          <w:b/>
          <w:bCs/>
          <w:noProof/>
          <w:sz w:val="22"/>
          <w:szCs w:val="22"/>
        </w:rPr>
      </w:pPr>
    </w:p>
    <w:p w14:paraId="6CB002C0" w14:textId="65016FA3" w:rsidR="001A1909" w:rsidRPr="001A1909" w:rsidRDefault="001A1909" w:rsidP="001A190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How many patients were treated in the past 3 months for gastric and gastro-oesophageal junction cancer (any stage) with: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37666CC6" w14:textId="2EF77418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CAPOX (Capecitabine with Oxaliplatin)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&lt;5*</w:t>
      </w:r>
    </w:p>
    <w:p w14:paraId="6F67A67E" w14:textId="3C99A827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FOLFOX (Folinic acid, Fluorouracil and Oxaliplatin)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&lt;5*</w:t>
      </w:r>
    </w:p>
    <w:p w14:paraId="766B234F" w14:textId="4C1AB0EB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Lonsurf (Trifluridine - tipiracil)</w:t>
      </w:r>
      <w:r>
        <w:rPr>
          <w:rFonts w:ascii="Verdana" w:hAnsi="Verdana"/>
          <w:b/>
          <w:bCs/>
          <w:noProof/>
          <w:sz w:val="22"/>
          <w:szCs w:val="22"/>
        </w:rPr>
        <w:t xml:space="preserve"> -</w:t>
      </w:r>
      <w:r w:rsidRPr="001A1909">
        <w:rPr>
          <w:rFonts w:ascii="Verdana" w:hAnsi="Verdana"/>
          <w:noProof/>
          <w:sz w:val="22"/>
          <w:szCs w:val="22"/>
        </w:rPr>
        <w:t xml:space="preserve"> 0</w:t>
      </w:r>
    </w:p>
    <w:p w14:paraId="07369180" w14:textId="617CB73B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Nivolumab in combination with Platinum (Cisplatin or Oxaliplatin) and Fluoropyrimidine (5-Fluorouracil or Capecitabine)</w:t>
      </w:r>
      <w:r w:rsidRPr="001A1909">
        <w:rPr>
          <w:rFonts w:ascii="Verdana" w:hAnsi="Verdana"/>
          <w:noProof/>
          <w:sz w:val="22"/>
          <w:szCs w:val="22"/>
        </w:rPr>
        <w:t xml:space="preserve"> - &lt;5*</w:t>
      </w:r>
    </w:p>
    <w:p w14:paraId="5378A275" w14:textId="5D2959C3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Pembrolizumab in combination with Platinum (Cisplatin or Oxaliplatin) and Fluoropyrimidine (5-Fluorouracil or Capecitabine)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&lt;5*</w:t>
      </w:r>
    </w:p>
    <w:p w14:paraId="55FD3CDE" w14:textId="79A6C872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 xml:space="preserve">Any other systemic anti-cancer therapy 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- 6</w:t>
      </w:r>
    </w:p>
    <w:p w14:paraId="6F14ECBC" w14:textId="472A0ED9" w:rsidR="001A1909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 xml:space="preserve">Palliative care only 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**</w:t>
      </w:r>
    </w:p>
    <w:p w14:paraId="23DF621B" w14:textId="18CCC915" w:rsidR="00873328" w:rsidRPr="001A1909" w:rsidRDefault="001A1909" w:rsidP="001A1909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1A1909">
        <w:rPr>
          <w:rFonts w:ascii="Verdana" w:hAnsi="Verdana"/>
          <w:b/>
          <w:bCs/>
          <w:noProof/>
          <w:sz w:val="22"/>
          <w:szCs w:val="22"/>
        </w:rPr>
        <w:t>Zolbetuximab (Vyloy)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A1909">
        <w:rPr>
          <w:rFonts w:ascii="Verdana" w:hAnsi="Verdana"/>
          <w:noProof/>
          <w:sz w:val="22"/>
          <w:szCs w:val="22"/>
        </w:rPr>
        <w:t>- 0</w:t>
      </w:r>
    </w:p>
    <w:p w14:paraId="61CC9292" w14:textId="77777777" w:rsidR="003738EA" w:rsidRPr="00FC3B42" w:rsidRDefault="003738EA" w:rsidP="003738EA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*</w:t>
      </w:r>
      <w:r w:rsidRPr="003738EA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 xml:space="preserve">This exemption is absolute and therefore there is no requirement to apply the public </w:t>
      </w:r>
      <w:r w:rsidRPr="00FC3B42">
        <w:rPr>
          <w:rFonts w:ascii="Verdana" w:hAnsi="Verdana"/>
          <w:sz w:val="22"/>
          <w:szCs w:val="22"/>
        </w:rPr>
        <w:lastRenderedPageBreak/>
        <w:t>interest test.</w:t>
      </w:r>
      <w:r w:rsidRPr="00FC3B42"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3738EA">
        <w:rPr>
          <w:rFonts w:ascii="Verdana" w:hAnsi="Verdana"/>
          <w:noProof/>
          <w:sz w:val="22"/>
          <w:szCs w:val="22"/>
        </w:rPr>
        <w:t>** 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</w:p>
    <w:p w14:paraId="2178A95B" w14:textId="001FCDCC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Kate Morgan Swansea Bay UHB - Corporate Services" w:date="2024-12-05T15:40:00Z" w:initials="KM">
    <w:p w14:paraId="15466D00" w14:textId="77777777" w:rsidR="00914B87" w:rsidRDefault="00914B87" w:rsidP="00914B87">
      <w:pPr>
        <w:pStyle w:val="CommentText"/>
        <w:ind w:left="0"/>
      </w:pPr>
      <w:r>
        <w:rPr>
          <w:rStyle w:val="CommentReference"/>
        </w:rPr>
        <w:annotationRef/>
      </w:r>
      <w:r>
        <w:t>Which 3 months?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15466D0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645787" w16cex:dateUtc="2024-12-05T15:4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5466D00" w16cid:durableId="2564578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724881"/>
    <w:multiLevelType w:val="hybridMultilevel"/>
    <w:tmpl w:val="8946EA50"/>
    <w:lvl w:ilvl="0" w:tplc="04021E8C">
      <w:start w:val="2"/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16A28EF"/>
    <w:multiLevelType w:val="hybridMultilevel"/>
    <w:tmpl w:val="67C4405A"/>
    <w:lvl w:ilvl="0" w:tplc="04021E8C">
      <w:start w:val="2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BF47B8"/>
    <w:multiLevelType w:val="hybridMultilevel"/>
    <w:tmpl w:val="53BCBD8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362506F"/>
    <w:multiLevelType w:val="hybridMultilevel"/>
    <w:tmpl w:val="2D74179A"/>
    <w:lvl w:ilvl="0" w:tplc="2362D2E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8A92DDC"/>
    <w:multiLevelType w:val="hybridMultilevel"/>
    <w:tmpl w:val="24D692C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8"/>
  </w:num>
  <w:num w:numId="5">
    <w:abstractNumId w:val="5"/>
  </w:num>
  <w:num w:numId="6">
    <w:abstractNumId w:val="3"/>
  </w:num>
  <w:num w:numId="7">
    <w:abstractNumId w:val="11"/>
  </w:num>
  <w:num w:numId="8">
    <w:abstractNumId w:val="17"/>
  </w:num>
  <w:num w:numId="9">
    <w:abstractNumId w:val="22"/>
  </w:num>
  <w:num w:numId="10">
    <w:abstractNumId w:val="1"/>
  </w:num>
  <w:num w:numId="11">
    <w:abstractNumId w:val="10"/>
  </w:num>
  <w:num w:numId="12">
    <w:abstractNumId w:val="14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16"/>
  </w:num>
  <w:num w:numId="20">
    <w:abstractNumId w:val="20"/>
  </w:num>
  <w:num w:numId="21">
    <w:abstractNumId w:val="21"/>
  </w:num>
  <w:num w:numId="22">
    <w:abstractNumId w:val="13"/>
  </w:num>
  <w:num w:numId="23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te Morgan Swansea Bay UHB - Corporate Services">
    <w15:presenceInfo w15:providerId="AD" w15:userId="S::Kate.Morgan@wales.nhs.uk::32b806b3-3416-48c8-9589-79e8b25b15f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A1909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38EA"/>
    <w:rsid w:val="0039422D"/>
    <w:rsid w:val="003B09B5"/>
    <w:rsid w:val="003F2312"/>
    <w:rsid w:val="004039EB"/>
    <w:rsid w:val="00421E7F"/>
    <w:rsid w:val="004365A5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14B87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BD422A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4162E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914B8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14B8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14B8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14B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14B8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2</Pages>
  <Words>365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2024-12-06T06:19:00Z</dcterms:modified>
</cp:coreProperties>
</file>