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B75D10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26B8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B75D10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26B8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ADE53B6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85F0E67" w14:textId="3D20B4B3" w:rsidR="0098756D" w:rsidRDefault="0098756D" w:rsidP="0098756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98756D">
        <w:rPr>
          <w:rFonts w:ascii="Verdana" w:hAnsi="Verdana"/>
          <w:b/>
          <w:bCs/>
          <w:noProof/>
          <w:sz w:val="22"/>
          <w:szCs w:val="22"/>
        </w:rPr>
        <w:t>How many patients have been treated for breast cancer (any stage) in the past 3 months with the following systemic anti-cancer therapies: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>For July to September 2024;</w:t>
      </w:r>
    </w:p>
    <w:tbl>
      <w:tblPr>
        <w:tblW w:w="7080" w:type="dxa"/>
        <w:jc w:val="center"/>
        <w:tblLook w:val="04A0" w:firstRow="1" w:lastRow="0" w:firstColumn="1" w:lastColumn="0" w:noHBand="0" w:noVBand="1"/>
      </w:tblPr>
      <w:tblGrid>
        <w:gridCol w:w="3820"/>
        <w:gridCol w:w="3260"/>
      </w:tblGrid>
      <w:tr w:rsidR="0098756D" w:rsidRPr="0098756D" w14:paraId="0BC38AB3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640D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Aromatase Inhibitor (e.g. anastrozole, exemestane, letrozole)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E33060" w14:textId="7D1819D5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sz w:val="22"/>
                <w:szCs w:val="22"/>
              </w:rPr>
              <w:t>Unable to split abemaciclib patients – total of patients 36</w:t>
            </w:r>
          </w:p>
        </w:tc>
      </w:tr>
      <w:tr w:rsidR="0098756D" w:rsidRPr="0098756D" w14:paraId="056D571F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CB4DD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Abemaciclib + Fulvestrant</w:t>
            </w: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37932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2"/>
                <w:szCs w:val="22"/>
              </w:rPr>
            </w:pPr>
          </w:p>
        </w:tc>
      </w:tr>
      <w:tr w:rsidR="0098756D" w:rsidRPr="0098756D" w14:paraId="1689CFFF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3FF93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Alpelisib + Fulvestrant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096E5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8756D" w:rsidRPr="0098756D" w14:paraId="3786B232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D2654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Anthracycline (e.g. doxorubicin or epirubicin) as a single agent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4434C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98756D" w:rsidRPr="0098756D" w14:paraId="6BE95A58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EFE1B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Aromatase inhibitor as a single agent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738C2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This information is not held on our system</w:t>
            </w:r>
          </w:p>
        </w:tc>
      </w:tr>
      <w:tr w:rsidR="0098756D" w:rsidRPr="0098756D" w14:paraId="1381F4E0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BC313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+Nab-paclitaxel/Paclitaxel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B79953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8756D" w:rsidRPr="0098756D" w14:paraId="1298EBD0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BE241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Capecitabine as a single agent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3D040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</w:t>
            </w:r>
          </w:p>
        </w:tc>
      </w:tr>
      <w:tr w:rsidR="0098756D" w:rsidRPr="0098756D" w14:paraId="0D503F78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B45C2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Carboplatin + Paclitaxel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E9FC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</w:tr>
      <w:tr w:rsidR="0098756D" w:rsidRPr="0098756D" w14:paraId="2794A7A1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F86AE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Eribulin as a single agent or in combination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EA1DF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8756D" w:rsidRPr="0098756D" w14:paraId="4FDFADE4" w14:textId="77777777" w:rsidTr="0098756D">
        <w:trPr>
          <w:trHeight w:val="114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EF8722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Everolimus + Exemestane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FED4E" w14:textId="529D7180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 &lt;5* patients on everolimus – exemestane not prescribed on our medication system</w:t>
            </w:r>
          </w:p>
        </w:tc>
      </w:tr>
      <w:tr w:rsidR="0098756D" w:rsidRPr="0098756D" w14:paraId="0EBE607A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ED486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Fulvestrant as a single agent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C0A92" w14:textId="41935DED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 (unable to state if combined with aromatase inhibitors)</w:t>
            </w:r>
          </w:p>
        </w:tc>
      </w:tr>
      <w:tr w:rsidR="0098756D" w:rsidRPr="0098756D" w14:paraId="1036DDBB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7EF34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Palbociclib + Aromatase Inhibitor (e.g. anastrazole, exemestane, letrozole)</w:t>
            </w:r>
          </w:p>
        </w:tc>
        <w:tc>
          <w:tcPr>
            <w:tcW w:w="3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07149" w14:textId="4D871780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Unable to split palbociclib patients – total of patients 33</w:t>
            </w:r>
          </w:p>
        </w:tc>
      </w:tr>
      <w:tr w:rsidR="0098756D" w:rsidRPr="0098756D" w14:paraId="68A9F1A1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50B1A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Palbociclib  + Fulvestrant</w:t>
            </w:r>
          </w:p>
        </w:tc>
        <w:tc>
          <w:tcPr>
            <w:tcW w:w="32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7B8D1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98756D" w:rsidRPr="0098756D" w14:paraId="60D89D5B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7A72C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PARP inhibitors (Olaparib/Talazoparib)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51C39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8756D" w:rsidRPr="0098756D" w14:paraId="2F3FD4F1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9A690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7E1D8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</w:t>
            </w:r>
          </w:p>
        </w:tc>
      </w:tr>
      <w:tr w:rsidR="0098756D" w:rsidRPr="0098756D" w14:paraId="0F738F04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8E13E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Ribociclib + Aromatase Inhibitor (e.g. anastrazole, exemestane, letrozole)</w:t>
            </w:r>
          </w:p>
        </w:tc>
        <w:tc>
          <w:tcPr>
            <w:tcW w:w="3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5D7C6" w14:textId="20A3F485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Unable to split ribociclib patients – total of patients 13</w:t>
            </w:r>
          </w:p>
        </w:tc>
      </w:tr>
      <w:tr w:rsidR="0098756D" w:rsidRPr="0098756D" w14:paraId="29C20765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235E3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lastRenderedPageBreak/>
              <w:t>Ribociclib + Fulvestrant</w:t>
            </w:r>
          </w:p>
        </w:tc>
        <w:tc>
          <w:tcPr>
            <w:tcW w:w="32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3077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98756D" w:rsidRPr="0098756D" w14:paraId="30E0E6E1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7015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Sacituzumab Govitecan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B2868E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8756D" w:rsidRPr="0098756D" w14:paraId="07C38033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611CA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Taxane (e.g. docetaxel, paclitaxel, nab-paclitaxel) as a single agent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55A3B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36</w:t>
            </w:r>
          </w:p>
        </w:tc>
      </w:tr>
      <w:tr w:rsidR="0098756D" w:rsidRPr="0098756D" w14:paraId="364FCA50" w14:textId="77777777" w:rsidTr="0098756D">
        <w:trPr>
          <w:trHeight w:val="57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9D42E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as a single agent or in combination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DD6A1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</w:t>
            </w:r>
          </w:p>
        </w:tc>
      </w:tr>
      <w:tr w:rsidR="0098756D" w:rsidRPr="0098756D" w14:paraId="2284A5E8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12127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Trastuzumab emtansine 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319096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98756D" w:rsidRPr="0098756D" w14:paraId="56786D84" w14:textId="77777777" w:rsidTr="0098756D">
        <w:trPr>
          <w:trHeight w:val="28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D7FD5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Trastuzumab deruxtecan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E0451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98756D" w:rsidRPr="0098756D" w14:paraId="0528E7CB" w14:textId="77777777" w:rsidTr="0098756D">
        <w:trPr>
          <w:trHeight w:val="855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0E55D7" w14:textId="77777777" w:rsidR="0098756D" w:rsidRPr="0098756D" w:rsidRDefault="0098756D" w:rsidP="0098756D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Any other active systemic anti-cancer therapy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000BB" w14:textId="77777777" w:rsidR="0098756D" w:rsidRPr="0098756D" w:rsidRDefault="0098756D" w:rsidP="0098756D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98756D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92 (please note patients may have had more than one SACT regimen)</w:t>
            </w:r>
          </w:p>
        </w:tc>
      </w:tr>
    </w:tbl>
    <w:p w14:paraId="3D2F1DC6" w14:textId="77777777" w:rsidR="0098756D" w:rsidRPr="0098756D" w:rsidRDefault="0098756D" w:rsidP="0098756D">
      <w:pPr>
        <w:rPr>
          <w:rFonts w:ascii="Verdana" w:hAnsi="Verdana"/>
          <w:b/>
          <w:bCs/>
          <w:noProof/>
          <w:sz w:val="22"/>
          <w:szCs w:val="22"/>
        </w:rPr>
      </w:pPr>
    </w:p>
    <w:p w14:paraId="53960CF8" w14:textId="322E5AE2" w:rsidR="0098756D" w:rsidRPr="00B435D3" w:rsidRDefault="0098756D" w:rsidP="0098756D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98756D">
        <w:rPr>
          <w:rFonts w:ascii="Verdana" w:hAnsi="Verdana"/>
          <w:b/>
          <w:bCs/>
          <w:noProof/>
          <w:sz w:val="22"/>
          <w:szCs w:val="22"/>
        </w:rPr>
        <w:t xml:space="preserve">Does your </w:t>
      </w:r>
      <w:r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98756D">
        <w:rPr>
          <w:rFonts w:ascii="Verdana" w:hAnsi="Verdana"/>
          <w:b/>
          <w:bCs/>
          <w:noProof/>
          <w:sz w:val="22"/>
          <w:szCs w:val="22"/>
        </w:rPr>
        <w:t xml:space="preserve"> participate in any clinical trials for breast cancer? If so, please provide the name of each trial, and the number of patients taking part.</w:t>
      </w:r>
      <w:r w:rsidR="00B435D3">
        <w:rPr>
          <w:rFonts w:ascii="Verdana" w:hAnsi="Verdana"/>
          <w:b/>
          <w:bCs/>
          <w:noProof/>
          <w:sz w:val="22"/>
          <w:szCs w:val="22"/>
        </w:rPr>
        <w:br/>
      </w:r>
      <w:r w:rsidR="00B435D3" w:rsidRPr="00B435D3">
        <w:rPr>
          <w:rFonts w:ascii="Verdana" w:hAnsi="Verdana"/>
          <w:noProof/>
          <w:sz w:val="22"/>
          <w:szCs w:val="22"/>
        </w:rPr>
        <w:t>Currently the health board is participating in the following;</w:t>
      </w:r>
      <w:r w:rsidR="00B435D3">
        <w:rPr>
          <w:rFonts w:ascii="Verdana" w:hAnsi="Verdana"/>
          <w:noProof/>
          <w:sz w:val="22"/>
          <w:szCs w:val="22"/>
        </w:rPr>
        <w:br/>
      </w:r>
    </w:p>
    <w:p w14:paraId="67CAE20B" w14:textId="1BBD45A7" w:rsidR="00B435D3" w:rsidRPr="00B435D3" w:rsidRDefault="00B435D3" w:rsidP="00B435D3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sz w:val="22"/>
          <w:szCs w:val="22"/>
        </w:rPr>
      </w:pPr>
      <w:r w:rsidRPr="00B435D3">
        <w:rPr>
          <w:rFonts w:ascii="Verdana" w:hAnsi="Verdana"/>
          <w:sz w:val="22"/>
          <w:szCs w:val="22"/>
        </w:rPr>
        <w:t>HEREDERA</w:t>
      </w:r>
      <w:r w:rsidRPr="00B435D3">
        <w:rPr>
          <w:rFonts w:ascii="Verdana" w:hAnsi="Verdana"/>
          <w:b/>
          <w:bCs/>
          <w:sz w:val="22"/>
          <w:szCs w:val="22"/>
        </w:rPr>
        <w:t xml:space="preserve">- </w:t>
      </w:r>
      <w:r w:rsidR="005B09E0" w:rsidRPr="005B09E0">
        <w:rPr>
          <w:rFonts w:ascii="Verdana" w:hAnsi="Verdana"/>
          <w:sz w:val="22"/>
          <w:szCs w:val="22"/>
        </w:rPr>
        <w:t xml:space="preserve">A phase III, randomized, open-label study evaluating the efficacy and safety of Girdestrant in combination with Phesgo versis Phesgo after induction therapy with Phesgo+ Taxane in patients with previously untreated HER2-positive, estrogen receptor-positive locally-advanced or metastatic breast cancer </w:t>
      </w:r>
      <w:r w:rsidRPr="005B09E0">
        <w:rPr>
          <w:rFonts w:ascii="Verdana" w:hAnsi="Verdana"/>
          <w:sz w:val="22"/>
          <w:szCs w:val="22"/>
        </w:rPr>
        <w:br/>
      </w:r>
    </w:p>
    <w:p w14:paraId="7DF45B71" w14:textId="1BD2C3E6" w:rsidR="00B435D3" w:rsidRPr="00B435D3" w:rsidRDefault="00B435D3" w:rsidP="00B435D3">
      <w:pPr>
        <w:pStyle w:val="Default"/>
        <w:numPr>
          <w:ilvl w:val="0"/>
          <w:numId w:val="21"/>
        </w:numPr>
        <w:rPr>
          <w:rFonts w:ascii="Verdana" w:hAnsi="Verdana" w:cs="Calibri"/>
          <w:sz w:val="22"/>
          <w:szCs w:val="22"/>
        </w:rPr>
      </w:pPr>
      <w:r w:rsidRPr="00B435D3">
        <w:rPr>
          <w:rFonts w:ascii="Verdana" w:hAnsi="Verdana" w:cs="Calibri"/>
          <w:sz w:val="22"/>
          <w:szCs w:val="22"/>
        </w:rPr>
        <w:t xml:space="preserve">ATNEC - Axillary management in cT1-3N1M0 breast cancer patients with needle biopsy proven nodal metastases at presentation after neoadjuvant chemotherapy </w:t>
      </w:r>
      <w:r w:rsidRPr="00B435D3">
        <w:rPr>
          <w:rFonts w:ascii="Verdana" w:hAnsi="Verdana" w:cs="Calibri"/>
          <w:sz w:val="22"/>
          <w:szCs w:val="22"/>
        </w:rPr>
        <w:br/>
      </w:r>
    </w:p>
    <w:p w14:paraId="17135A05" w14:textId="7FB2143C" w:rsidR="00B435D3" w:rsidRPr="00B435D3" w:rsidRDefault="00B435D3" w:rsidP="00B435D3">
      <w:pPr>
        <w:pStyle w:val="ListParagraph"/>
        <w:numPr>
          <w:ilvl w:val="0"/>
          <w:numId w:val="21"/>
        </w:numPr>
        <w:spacing w:after="240"/>
        <w:rPr>
          <w:rFonts w:ascii="Verdana" w:hAnsi="Verdana"/>
          <w:sz w:val="22"/>
          <w:szCs w:val="22"/>
        </w:rPr>
      </w:pPr>
      <w:r w:rsidRPr="00B435D3">
        <w:rPr>
          <w:rFonts w:ascii="Verdana" w:hAnsi="Verdana"/>
          <w:sz w:val="22"/>
          <w:szCs w:val="22"/>
        </w:rPr>
        <w:t xml:space="preserve">OPTIMA- Optimal Personalised Treatment of early breast cancer using Multi-parameter Analysis  </w:t>
      </w:r>
      <w:r w:rsidRPr="00B435D3">
        <w:rPr>
          <w:rFonts w:ascii="Verdana" w:hAnsi="Verdana"/>
          <w:sz w:val="22"/>
          <w:szCs w:val="22"/>
        </w:rPr>
        <w:br/>
      </w:r>
    </w:p>
    <w:p w14:paraId="5C7126B7" w14:textId="296842AE" w:rsidR="00B435D3" w:rsidRPr="00B435D3" w:rsidRDefault="00B435D3" w:rsidP="00B435D3">
      <w:pPr>
        <w:pStyle w:val="ListParagraph"/>
        <w:numPr>
          <w:ilvl w:val="0"/>
          <w:numId w:val="21"/>
        </w:numPr>
        <w:spacing w:after="240"/>
        <w:rPr>
          <w:rFonts w:ascii="Verdana" w:hAnsi="Verdana"/>
          <w:sz w:val="22"/>
          <w:szCs w:val="22"/>
        </w:rPr>
      </w:pPr>
      <w:r w:rsidRPr="00B435D3">
        <w:rPr>
          <w:rFonts w:ascii="Verdana" w:hAnsi="Verdana"/>
          <w:sz w:val="22"/>
          <w:szCs w:val="22"/>
        </w:rPr>
        <w:t>PARABLE- Proton beam therapy in patients with breast cancer: evaluating early and late effects</w:t>
      </w:r>
      <w:r w:rsidRPr="00B435D3">
        <w:rPr>
          <w:rFonts w:ascii="Verdana" w:hAnsi="Verdana"/>
          <w:sz w:val="22"/>
          <w:szCs w:val="22"/>
        </w:rPr>
        <w:br/>
      </w:r>
    </w:p>
    <w:p w14:paraId="7BE71D75" w14:textId="3F8721D5" w:rsidR="00B435D3" w:rsidRPr="00B435D3" w:rsidRDefault="00B435D3" w:rsidP="00B435D3">
      <w:pPr>
        <w:pStyle w:val="ListParagraph"/>
        <w:numPr>
          <w:ilvl w:val="0"/>
          <w:numId w:val="21"/>
        </w:numPr>
        <w:rPr>
          <w:rFonts w:ascii="Verdana" w:hAnsi="Verdana"/>
          <w:sz w:val="22"/>
          <w:szCs w:val="22"/>
        </w:rPr>
      </w:pPr>
      <w:r w:rsidRPr="00B435D3">
        <w:rPr>
          <w:rFonts w:ascii="Verdana" w:hAnsi="Verdana"/>
          <w:sz w:val="22"/>
          <w:szCs w:val="22"/>
        </w:rPr>
        <w:t>PREDICT- Predicting cancer evolution in breast cancer (version 1)</w:t>
      </w:r>
      <w:r w:rsidRPr="00B435D3">
        <w:rPr>
          <w:rFonts w:ascii="Verdana" w:hAnsi="Verdana"/>
          <w:sz w:val="22"/>
          <w:szCs w:val="22"/>
        </w:rPr>
        <w:br/>
        <w:t>Using machine learning to predict subclone evolution and response to chemotherapy in secondary breast cancer</w:t>
      </w:r>
      <w:r w:rsidRPr="00B435D3">
        <w:rPr>
          <w:rFonts w:ascii="Verdana" w:hAnsi="Verdana"/>
          <w:sz w:val="22"/>
          <w:szCs w:val="22"/>
        </w:rPr>
        <w:br/>
      </w:r>
    </w:p>
    <w:p w14:paraId="6C620FAE" w14:textId="23BEEA90" w:rsidR="00B435D3" w:rsidRPr="00B435D3" w:rsidRDefault="00B435D3" w:rsidP="00B435D3">
      <w:pPr>
        <w:pStyle w:val="ListParagraph"/>
        <w:numPr>
          <w:ilvl w:val="0"/>
          <w:numId w:val="21"/>
        </w:numPr>
        <w:rPr>
          <w:sz w:val="20"/>
          <w:szCs w:val="20"/>
        </w:rPr>
      </w:pPr>
      <w:r w:rsidRPr="00B435D3">
        <w:rPr>
          <w:rFonts w:ascii="Verdana" w:hAnsi="Verdana"/>
          <w:sz w:val="22"/>
          <w:szCs w:val="22"/>
        </w:rPr>
        <w:t>SWEET- Improving outcome</w:t>
      </w:r>
      <w:r w:rsidR="00F861A3">
        <w:rPr>
          <w:rFonts w:ascii="Verdana" w:hAnsi="Verdana"/>
          <w:sz w:val="22"/>
          <w:szCs w:val="22"/>
        </w:rPr>
        <w:t>s</w:t>
      </w:r>
      <w:r w:rsidRPr="00B435D3">
        <w:rPr>
          <w:rFonts w:ascii="Verdana" w:hAnsi="Verdana"/>
          <w:sz w:val="22"/>
          <w:szCs w:val="22"/>
        </w:rPr>
        <w:t xml:space="preserve"> for </w:t>
      </w:r>
      <w:r w:rsidR="00F861A3">
        <w:rPr>
          <w:rFonts w:ascii="Verdana" w:hAnsi="Verdana"/>
          <w:sz w:val="22"/>
          <w:szCs w:val="22"/>
        </w:rPr>
        <w:t>w</w:t>
      </w:r>
      <w:r w:rsidRPr="00B435D3">
        <w:rPr>
          <w:rFonts w:ascii="Verdana" w:hAnsi="Verdana"/>
          <w:sz w:val="22"/>
          <w:szCs w:val="22"/>
        </w:rPr>
        <w:t>omen diagnosed with early breast cancer through adh</w:t>
      </w:r>
      <w:r w:rsidR="00F861A3">
        <w:rPr>
          <w:rFonts w:ascii="Verdana" w:hAnsi="Verdana"/>
          <w:sz w:val="22"/>
          <w:szCs w:val="22"/>
        </w:rPr>
        <w:t>e</w:t>
      </w:r>
      <w:r w:rsidRPr="00B435D3">
        <w:rPr>
          <w:rFonts w:ascii="Verdana" w:hAnsi="Verdana"/>
          <w:sz w:val="22"/>
          <w:szCs w:val="22"/>
        </w:rPr>
        <w:t xml:space="preserve">rence to adjuvant Endocrine Therapy (SWEET) </w:t>
      </w:r>
      <w:r w:rsidRPr="00B435D3">
        <w:rPr>
          <w:rFonts w:ascii="Verdana" w:hAnsi="Verdana"/>
          <w:sz w:val="22"/>
          <w:szCs w:val="22"/>
        </w:rPr>
        <w:br/>
      </w:r>
    </w:p>
    <w:p w14:paraId="50738D08" w14:textId="0496F0F8" w:rsidR="00B435D3" w:rsidRPr="00B435D3" w:rsidRDefault="00B435D3" w:rsidP="00B435D3">
      <w:pPr>
        <w:ind w:left="1225"/>
        <w:rPr>
          <w:rFonts w:ascii="Verdana" w:hAnsi="Verdana"/>
          <w:sz w:val="22"/>
          <w:szCs w:val="22"/>
        </w:rPr>
      </w:pPr>
      <w:r w:rsidRPr="00B435D3">
        <w:rPr>
          <w:rFonts w:ascii="Verdana" w:hAnsi="Verdana"/>
          <w:sz w:val="22"/>
          <w:szCs w:val="22"/>
        </w:rPr>
        <w:t>64 patients recruited across all trials.</w:t>
      </w:r>
    </w:p>
    <w:p w14:paraId="471F7D56" w14:textId="090081EC" w:rsidR="00B435D3" w:rsidRPr="0098756D" w:rsidRDefault="00B435D3" w:rsidP="00B435D3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1FAD7E8" w:rsidR="00873328" w:rsidRDefault="00B435D3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*</w:t>
      </w:r>
      <w:r w:rsidRPr="00B435D3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5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5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176D28"/>
    <w:multiLevelType w:val="hybridMultilevel"/>
    <w:tmpl w:val="7C52C280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EE4CDC"/>
    <w:multiLevelType w:val="hybridMultilevel"/>
    <w:tmpl w:val="A3A46ED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9D550A7"/>
    <w:multiLevelType w:val="hybridMultilevel"/>
    <w:tmpl w:val="3D8687D2"/>
    <w:lvl w:ilvl="0" w:tplc="F950F4A2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4"/>
  </w:num>
  <w:num w:numId="13">
    <w:abstractNumId w:val="19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2"/>
  </w:num>
  <w:num w:numId="19">
    <w:abstractNumId w:val="11"/>
  </w:num>
  <w:num w:numId="20">
    <w:abstractNumId w:val="18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26B82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B09E0"/>
    <w:rsid w:val="005F0E79"/>
    <w:rsid w:val="00602EE5"/>
    <w:rsid w:val="006137E4"/>
    <w:rsid w:val="00635BDA"/>
    <w:rsid w:val="006564DF"/>
    <w:rsid w:val="00684641"/>
    <w:rsid w:val="006B6A8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756D"/>
    <w:rsid w:val="009A0943"/>
    <w:rsid w:val="009B087A"/>
    <w:rsid w:val="009B21AD"/>
    <w:rsid w:val="009B4453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35D3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4E83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861A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basedOn w:val="Normal"/>
    <w:rsid w:val="00B435D3"/>
    <w:pPr>
      <w:autoSpaceDE w:val="0"/>
      <w:autoSpaceDN w:val="0"/>
      <w:spacing w:before="0" w:after="0" w:line="240" w:lineRule="auto"/>
      <w:ind w:left="0" w:right="0"/>
    </w:pPr>
    <w:rPr>
      <w:rFonts w:eastAsiaTheme="minorHAnsi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F861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61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61A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61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61A3"/>
    <w:rPr>
      <w:b/>
      <w:bCs/>
    </w:rPr>
  </w:style>
  <w:style w:type="paragraph" w:styleId="Revision">
    <w:name w:val="Revision"/>
    <w:hidden/>
    <w:uiPriority w:val="99"/>
    <w:semiHidden/>
    <w:rsid w:val="00F861A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3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2024-12-06T17:59:00Z</cp:lastPrinted>
  <dcterms:created xsi:type="dcterms:W3CDTF">2021-09-13T07:38:00Z</dcterms:created>
  <dcterms:modified xsi:type="dcterms:W3CDTF">2024-12-06T17:59:00Z</dcterms:modified>
</cp:coreProperties>
</file>