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FE5492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71A4">
                              <w:rPr>
                                <w:rFonts w:ascii="Verdana" w:hAnsi="Verdana"/>
                                <w:b/>
                                <w:sz w:val="22"/>
                                <w:szCs w:val="22"/>
                              </w:rPr>
                              <w:t>24-J-049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FE5492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A71A4">
                        <w:rPr>
                          <w:rFonts w:ascii="Verdana" w:hAnsi="Verdana"/>
                          <w:b/>
                          <w:sz w:val="22"/>
                          <w:szCs w:val="22"/>
                        </w:rPr>
                        <w:t>24-J-049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DE53B6" w:rsidR="00DC0D5A" w:rsidRDefault="00A10460" w:rsidP="00DC0D5A">
      <w:pPr>
        <w:spacing w:before="280"/>
        <w:rPr>
          <w:rFonts w:ascii="Verdana" w:hAnsi="Verdana"/>
          <w:b/>
          <w:sz w:val="22"/>
        </w:rPr>
      </w:pPr>
      <w:r w:rsidRPr="00A10460">
        <w:rPr>
          <w:rFonts w:ascii="Verdana" w:hAnsi="Verdana"/>
          <w:b/>
          <w:sz w:val="22"/>
        </w:rPr>
        <w:t>You asked:</w:t>
      </w:r>
    </w:p>
    <w:p w14:paraId="4E6244AE" w14:textId="170C6EB5" w:rsidR="004A71A4" w:rsidRPr="00741398" w:rsidRDefault="004A71A4" w:rsidP="00741398">
      <w:pPr>
        <w:pStyle w:val="ListParagraph"/>
        <w:numPr>
          <w:ilvl w:val="0"/>
          <w:numId w:val="20"/>
        </w:numPr>
        <w:spacing w:before="100" w:beforeAutospacing="1" w:after="100" w:afterAutospacing="1"/>
        <w:rPr>
          <w:rFonts w:ascii="Verdana" w:hAnsi="Verdana"/>
          <w:b/>
          <w:bCs/>
          <w:sz w:val="22"/>
          <w:szCs w:val="22"/>
        </w:rPr>
      </w:pPr>
      <w:r w:rsidRPr="004A71A4">
        <w:rPr>
          <w:rFonts w:ascii="Verdana" w:hAnsi="Verdana"/>
          <w:b/>
          <w:bCs/>
          <w:color w:val="000000"/>
          <w:sz w:val="22"/>
          <w:szCs w:val="22"/>
        </w:rPr>
        <w:t>The number of patients with generalised Myasthenia Gravis (gMG) treated in each month for July, August, and September 2024 </w:t>
      </w:r>
      <w:r w:rsidR="00741398">
        <w:rPr>
          <w:rFonts w:ascii="Verdana" w:hAnsi="Verdana"/>
          <w:b/>
          <w:bCs/>
          <w:color w:val="000000"/>
          <w:sz w:val="22"/>
          <w:szCs w:val="22"/>
        </w:rPr>
        <w:br/>
      </w:r>
      <w:r w:rsidR="00741398" w:rsidRPr="00741398">
        <w:rPr>
          <w:rFonts w:ascii="Verdana" w:hAnsi="Verdana"/>
          <w:color w:val="000000"/>
          <w:sz w:val="22"/>
          <w:szCs w:val="22"/>
        </w:rPr>
        <w:t>July - &lt;5</w:t>
      </w:r>
      <w:r w:rsidR="00741398" w:rsidRPr="00741398">
        <w:rPr>
          <w:rFonts w:ascii="Verdana" w:hAnsi="Verdana"/>
          <w:color w:val="000000"/>
          <w:sz w:val="22"/>
          <w:szCs w:val="22"/>
        </w:rPr>
        <w:br/>
        <w:t>August – 6</w:t>
      </w:r>
      <w:r w:rsidR="00741398" w:rsidRPr="00741398">
        <w:rPr>
          <w:rFonts w:ascii="Verdana" w:hAnsi="Verdana"/>
          <w:color w:val="000000"/>
          <w:sz w:val="22"/>
          <w:szCs w:val="22"/>
        </w:rPr>
        <w:br/>
        <w:t>September - &lt;5</w:t>
      </w:r>
      <w:r w:rsidR="00741398">
        <w:rPr>
          <w:rFonts w:ascii="Verdana" w:hAnsi="Verdana"/>
          <w:color w:val="000000"/>
          <w:sz w:val="22"/>
          <w:szCs w:val="22"/>
        </w:rPr>
        <w:br/>
      </w:r>
    </w:p>
    <w:p w14:paraId="126BC505" w14:textId="50CE3297" w:rsidR="004A71A4" w:rsidRPr="00741398" w:rsidRDefault="004A71A4" w:rsidP="00741398">
      <w:pPr>
        <w:pStyle w:val="ListParagraph"/>
        <w:numPr>
          <w:ilvl w:val="0"/>
          <w:numId w:val="20"/>
        </w:numPr>
        <w:spacing w:before="100" w:beforeAutospacing="1" w:after="100" w:afterAutospacing="1"/>
        <w:rPr>
          <w:rFonts w:ascii="Verdana" w:hAnsi="Verdana"/>
          <w:b/>
          <w:bCs/>
          <w:sz w:val="22"/>
          <w:szCs w:val="22"/>
        </w:rPr>
      </w:pPr>
      <w:r w:rsidRPr="004A71A4">
        <w:rPr>
          <w:rFonts w:ascii="Verdana" w:hAnsi="Verdana"/>
          <w:b/>
          <w:bCs/>
          <w:color w:val="000000"/>
          <w:sz w:val="22"/>
          <w:szCs w:val="22"/>
        </w:rPr>
        <w:t>The volume of medication dispensed and/or consumed in each month for July, August, and September 2024  for each of the products below for gMG patients. If it is more convenient to specify the number of vials, pre-filled syringes, or tablets, that would also be very helpful.</w:t>
      </w:r>
    </w:p>
    <w:p w14:paraId="4B720424" w14:textId="37D20570" w:rsidR="004A71A4" w:rsidRPr="00B52510" w:rsidRDefault="004A71A4" w:rsidP="004A71A4">
      <w:pPr>
        <w:ind w:left="865"/>
        <w:rPr>
          <w:rFonts w:ascii="Verdana" w:eastAsia="Times New Roman" w:hAnsi="Verdana"/>
          <w:sz w:val="22"/>
          <w:szCs w:val="22"/>
        </w:rPr>
      </w:pPr>
      <w:r w:rsidRPr="004A71A4">
        <w:rPr>
          <w:rFonts w:ascii="Verdana" w:eastAsia="Times New Roman" w:hAnsi="Verdana"/>
          <w:b/>
          <w:bCs/>
          <w:color w:val="000000"/>
          <w:sz w:val="22"/>
          <w:szCs w:val="22"/>
        </w:rPr>
        <w:t>1. Steroids </w:t>
      </w:r>
      <w:r w:rsidR="00DA2BBA" w:rsidRPr="00DA2BBA">
        <w:rPr>
          <w:rFonts w:ascii="Verdana" w:eastAsia="Times New Roman" w:hAnsi="Verdana"/>
          <w:color w:val="000000"/>
          <w:sz w:val="22"/>
          <w:szCs w:val="22"/>
        </w:rPr>
        <w:t>– this medication is prescribed by GPs in the community and the information is not held centrally. To retrieve this information you will need to contact the GP practices individually.</w:t>
      </w:r>
      <w:r w:rsidR="00DA2BBA">
        <w:rPr>
          <w:rFonts w:ascii="Verdana" w:eastAsia="Times New Roman" w:hAnsi="Verdana"/>
          <w:b/>
          <w:bCs/>
          <w:color w:val="000000"/>
          <w:sz w:val="22"/>
          <w:szCs w:val="22"/>
        </w:rPr>
        <w:br/>
      </w:r>
      <w:r w:rsidRPr="004A71A4">
        <w:rPr>
          <w:rFonts w:ascii="Verdana" w:eastAsia="Times New Roman" w:hAnsi="Verdana"/>
          <w:b/>
          <w:bCs/>
          <w:color w:val="000000"/>
          <w:sz w:val="22"/>
          <w:szCs w:val="22"/>
        </w:rPr>
        <w:br/>
        <w:t>2. Acetylcholinerase Inhibitors (ACHEis)</w:t>
      </w:r>
      <w:r w:rsidR="00DA2BBA" w:rsidRPr="00DA2BBA">
        <w:rPr>
          <w:rFonts w:ascii="Verdana" w:eastAsia="Times New Roman" w:hAnsi="Verdana"/>
          <w:color w:val="000000"/>
          <w:sz w:val="22"/>
          <w:szCs w:val="22"/>
        </w:rPr>
        <w:t xml:space="preserve"> – this medication is prescribed by GPs in the community and the information is not held centrally. To retrieve this information you will need to contact the GP practices individually.</w:t>
      </w:r>
      <w:r w:rsidR="00DA2BBA">
        <w:rPr>
          <w:rFonts w:ascii="Verdana" w:eastAsia="Times New Roman" w:hAnsi="Verdana"/>
          <w:color w:val="000000"/>
          <w:sz w:val="22"/>
          <w:szCs w:val="22"/>
        </w:rPr>
        <w:br/>
      </w:r>
      <w:r w:rsidRPr="004A71A4">
        <w:rPr>
          <w:rFonts w:ascii="Verdana" w:eastAsia="Times New Roman" w:hAnsi="Verdana"/>
          <w:b/>
          <w:bCs/>
          <w:color w:val="000000"/>
          <w:sz w:val="22"/>
          <w:szCs w:val="22"/>
        </w:rPr>
        <w:br/>
        <w:t>3. Immunosuppressants </w:t>
      </w:r>
      <w:r w:rsidR="00DA2BBA" w:rsidRPr="00DA2BBA">
        <w:rPr>
          <w:rFonts w:ascii="Verdana" w:eastAsia="Times New Roman" w:hAnsi="Verdana"/>
          <w:color w:val="000000"/>
          <w:sz w:val="22"/>
          <w:szCs w:val="22"/>
        </w:rPr>
        <w:t>– approximately 40 patients</w:t>
      </w:r>
      <w:r w:rsidR="00DA2BBA">
        <w:rPr>
          <w:rFonts w:ascii="Verdana" w:eastAsia="Times New Roman" w:hAnsi="Verdana"/>
          <w:color w:val="000000"/>
          <w:sz w:val="22"/>
          <w:szCs w:val="22"/>
        </w:rPr>
        <w:t xml:space="preserve"> treated. </w:t>
      </w:r>
      <w:r w:rsidRPr="004A71A4">
        <w:rPr>
          <w:rFonts w:ascii="Verdana" w:eastAsia="Times New Roman" w:hAnsi="Verdana"/>
          <w:b/>
          <w:bCs/>
          <w:color w:val="000000"/>
          <w:sz w:val="22"/>
          <w:szCs w:val="22"/>
        </w:rPr>
        <w:br/>
        <w:t xml:space="preserve">4. Anti-CD20 </w:t>
      </w:r>
      <w:r w:rsidR="00B52510">
        <w:rPr>
          <w:rFonts w:ascii="Verdana" w:eastAsia="Times New Roman" w:hAnsi="Verdana"/>
          <w:b/>
          <w:bCs/>
          <w:color w:val="000000"/>
          <w:sz w:val="22"/>
          <w:szCs w:val="22"/>
        </w:rPr>
        <w:t>–</w:t>
      </w:r>
      <w:r w:rsidRPr="004A71A4">
        <w:rPr>
          <w:rFonts w:ascii="Verdana" w:eastAsia="Times New Roman" w:hAnsi="Verdana"/>
          <w:b/>
          <w:bCs/>
          <w:color w:val="000000"/>
          <w:sz w:val="22"/>
          <w:szCs w:val="22"/>
        </w:rPr>
        <w:t xml:space="preserve"> Rituximab</w:t>
      </w:r>
      <w:r w:rsidR="00B52510">
        <w:rPr>
          <w:rFonts w:ascii="Verdana" w:eastAsia="Times New Roman" w:hAnsi="Verdana"/>
          <w:b/>
          <w:bCs/>
          <w:color w:val="000000"/>
          <w:sz w:val="22"/>
          <w:szCs w:val="22"/>
        </w:rPr>
        <w:t xml:space="preserve"> </w:t>
      </w:r>
      <w:r w:rsidR="00B52510">
        <w:rPr>
          <w:rFonts w:ascii="Verdana" w:eastAsia="Times New Roman" w:hAnsi="Verdana"/>
          <w:color w:val="000000"/>
          <w:sz w:val="22"/>
          <w:szCs w:val="22"/>
        </w:rPr>
        <w:t>12 patients</w:t>
      </w:r>
      <w:r w:rsidRPr="004A71A4">
        <w:rPr>
          <w:rFonts w:ascii="Verdana" w:eastAsia="Times New Roman" w:hAnsi="Verdana"/>
          <w:b/>
          <w:bCs/>
          <w:color w:val="000000"/>
          <w:sz w:val="22"/>
          <w:szCs w:val="22"/>
        </w:rPr>
        <w:br/>
        <w:t>5. Immunoglobulins</w:t>
      </w:r>
      <w:r w:rsidR="00DA2BBA">
        <w:rPr>
          <w:rFonts w:ascii="Verdana" w:eastAsia="Times New Roman" w:hAnsi="Verdana"/>
          <w:b/>
          <w:bCs/>
          <w:color w:val="000000"/>
          <w:sz w:val="22"/>
          <w:szCs w:val="22"/>
        </w:rPr>
        <w:t xml:space="preserve"> </w:t>
      </w:r>
      <w:r w:rsidR="00DA2BBA" w:rsidRPr="00DA2BBA">
        <w:rPr>
          <w:rFonts w:ascii="Verdana" w:eastAsia="Times New Roman" w:hAnsi="Verdana"/>
          <w:color w:val="000000"/>
          <w:sz w:val="22"/>
          <w:szCs w:val="22"/>
        </w:rPr>
        <w:t>- &lt;5</w:t>
      </w:r>
      <w:r w:rsidR="00DA2BBA">
        <w:rPr>
          <w:rFonts w:ascii="Verdana" w:eastAsia="Times New Roman" w:hAnsi="Verdana"/>
          <w:b/>
          <w:bCs/>
          <w:color w:val="000000"/>
          <w:sz w:val="22"/>
          <w:szCs w:val="22"/>
        </w:rPr>
        <w:t xml:space="preserve"> </w:t>
      </w:r>
      <w:r w:rsidR="00DA2BBA" w:rsidRPr="00DA2BBA">
        <w:rPr>
          <w:rFonts w:ascii="Verdana" w:eastAsia="Times New Roman" w:hAnsi="Verdana"/>
          <w:color w:val="000000"/>
          <w:sz w:val="22"/>
          <w:szCs w:val="22"/>
        </w:rPr>
        <w:t>patients</w:t>
      </w:r>
      <w:r w:rsidRPr="004A71A4">
        <w:rPr>
          <w:rFonts w:ascii="Verdana" w:eastAsia="Times New Roman" w:hAnsi="Verdana"/>
          <w:b/>
          <w:bCs/>
          <w:color w:val="000000"/>
          <w:sz w:val="22"/>
          <w:szCs w:val="22"/>
        </w:rPr>
        <w:br/>
        <w:t>6. Anti-FcRn</w:t>
      </w:r>
      <w:r w:rsidR="00B52510">
        <w:rPr>
          <w:rFonts w:ascii="Verdana" w:eastAsia="Times New Roman" w:hAnsi="Verdana"/>
          <w:b/>
          <w:bCs/>
          <w:color w:val="000000"/>
          <w:sz w:val="22"/>
          <w:szCs w:val="22"/>
        </w:rPr>
        <w:t xml:space="preserve"> </w:t>
      </w:r>
      <w:r w:rsidR="00B52510">
        <w:rPr>
          <w:rFonts w:ascii="Verdana" w:eastAsia="Times New Roman" w:hAnsi="Verdana"/>
          <w:color w:val="000000"/>
          <w:sz w:val="22"/>
          <w:szCs w:val="22"/>
        </w:rPr>
        <w:t>&lt;5</w:t>
      </w:r>
      <w:r w:rsidRPr="004A71A4">
        <w:rPr>
          <w:rFonts w:ascii="Verdana" w:eastAsia="Times New Roman" w:hAnsi="Verdana"/>
          <w:b/>
          <w:bCs/>
          <w:color w:val="000000"/>
          <w:sz w:val="22"/>
          <w:szCs w:val="22"/>
        </w:rPr>
        <w:br/>
        <w:t>7. Complement Inhibitors </w:t>
      </w:r>
      <w:r w:rsidR="00FA70A2">
        <w:rPr>
          <w:rFonts w:ascii="Verdana" w:eastAsia="Times New Roman" w:hAnsi="Verdana"/>
          <w:color w:val="000000"/>
          <w:sz w:val="22"/>
          <w:szCs w:val="22"/>
        </w:rPr>
        <w:t>0 patients</w:t>
      </w:r>
    </w:p>
    <w:p w14:paraId="75970B72" w14:textId="0D349145" w:rsidR="00A10460" w:rsidRDefault="00741398" w:rsidP="00EB6B41">
      <w:pPr>
        <w:rPr>
          <w:rFonts w:ascii="Verdana" w:hAnsi="Verdana"/>
          <w:b/>
          <w:bCs/>
          <w:noProof/>
          <w:sz w:val="22"/>
          <w:szCs w:val="22"/>
        </w:rPr>
      </w:pPr>
      <w:r w:rsidRPr="00FC3B42">
        <w:rPr>
          <w:rFonts w:ascii="Verdana" w:hAnsi="Verdana"/>
          <w:sz w:val="22"/>
          <w:szCs w:val="22"/>
        </w:rPr>
        <w:t>Where fewer than 5</w:t>
      </w:r>
      <w:r>
        <w:rPr>
          <w:rFonts w:ascii="Verdana" w:hAnsi="Verdana"/>
          <w:sz w:val="22"/>
          <w:szCs w:val="22"/>
        </w:rPr>
        <w:t xml:space="preserve"> (&lt;5)</w:t>
      </w:r>
      <w:r w:rsidRPr="00FC3B42">
        <w:rPr>
          <w:rFonts w:ascii="Verdana" w:hAnsi="Verdana"/>
          <w:sz w:val="22"/>
          <w:szCs w:val="22"/>
        </w:rPr>
        <w:t xml:space="preserve">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623081DA" w14:textId="79F26A46"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81E4E24"/>
    <w:multiLevelType w:val="hybridMultilevel"/>
    <w:tmpl w:val="E7E4BC0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99049B"/>
    <w:multiLevelType w:val="hybridMultilevel"/>
    <w:tmpl w:val="2DA470D2"/>
    <w:lvl w:ilvl="0" w:tplc="58728908">
      <w:start w:val="1"/>
      <w:numFmt w:val="decimal"/>
      <w:lvlText w:val="%1."/>
      <w:lvlJc w:val="left"/>
      <w:pPr>
        <w:ind w:left="865" w:hanging="360"/>
      </w:pPr>
      <w:rPr>
        <w:rFonts w:hint="default"/>
        <w:color w:val="00000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num w:numId="1" w16cid:durableId="1781335112">
    <w:abstractNumId w:val="14"/>
  </w:num>
  <w:num w:numId="2" w16cid:durableId="1277710415">
    <w:abstractNumId w:val="0"/>
  </w:num>
  <w:num w:numId="3" w16cid:durableId="2118866756">
    <w:abstractNumId w:val="9"/>
  </w:num>
  <w:num w:numId="4" w16cid:durableId="1056658213">
    <w:abstractNumId w:val="16"/>
  </w:num>
  <w:num w:numId="5" w16cid:durableId="133957421">
    <w:abstractNumId w:val="4"/>
  </w:num>
  <w:num w:numId="6" w16cid:durableId="1725251224">
    <w:abstractNumId w:val="3"/>
  </w:num>
  <w:num w:numId="7" w16cid:durableId="4020413">
    <w:abstractNumId w:val="11"/>
  </w:num>
  <w:num w:numId="8" w16cid:durableId="285544787">
    <w:abstractNumId w:val="15"/>
  </w:num>
  <w:num w:numId="9" w16cid:durableId="387386423">
    <w:abstractNumId w:val="18"/>
  </w:num>
  <w:num w:numId="10" w16cid:durableId="632173277">
    <w:abstractNumId w:val="1"/>
  </w:num>
  <w:num w:numId="11" w16cid:durableId="872888199">
    <w:abstractNumId w:val="10"/>
  </w:num>
  <w:num w:numId="12" w16cid:durableId="1895309675">
    <w:abstractNumId w:val="13"/>
  </w:num>
  <w:num w:numId="13" w16cid:durableId="170067891">
    <w:abstractNumId w:val="17"/>
  </w:num>
  <w:num w:numId="14" w16cid:durableId="17222904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8829080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6335870">
    <w:abstractNumId w:val="12"/>
  </w:num>
  <w:num w:numId="17" w16cid:durableId="1883207172">
    <w:abstractNumId w:val="6"/>
  </w:num>
  <w:num w:numId="18" w16cid:durableId="1904438597">
    <w:abstractNumId w:val="2"/>
  </w:num>
  <w:num w:numId="19" w16cid:durableId="1137645316">
    <w:abstractNumId w:val="5"/>
  </w:num>
  <w:num w:numId="20" w16cid:durableId="63360534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4EE7"/>
    <w:rsid w:val="0048724F"/>
    <w:rsid w:val="004A71A4"/>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22F36"/>
    <w:rsid w:val="00635BDA"/>
    <w:rsid w:val="006564DF"/>
    <w:rsid w:val="0067428D"/>
    <w:rsid w:val="00684641"/>
    <w:rsid w:val="006B6A8D"/>
    <w:rsid w:val="006C4048"/>
    <w:rsid w:val="006D5578"/>
    <w:rsid w:val="006F4A69"/>
    <w:rsid w:val="006F5A5D"/>
    <w:rsid w:val="00730DD2"/>
    <w:rsid w:val="00734492"/>
    <w:rsid w:val="0073651A"/>
    <w:rsid w:val="00741398"/>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52510"/>
    <w:rsid w:val="00B61DE2"/>
    <w:rsid w:val="00B73D24"/>
    <w:rsid w:val="00B82C9E"/>
    <w:rsid w:val="00B8458F"/>
    <w:rsid w:val="00BB4931"/>
    <w:rsid w:val="00BC67E1"/>
    <w:rsid w:val="00BE022F"/>
    <w:rsid w:val="00C021A4"/>
    <w:rsid w:val="00C050BE"/>
    <w:rsid w:val="00C75A00"/>
    <w:rsid w:val="00CA07E3"/>
    <w:rsid w:val="00CB2BBE"/>
    <w:rsid w:val="00CE128A"/>
    <w:rsid w:val="00CE1516"/>
    <w:rsid w:val="00CE325E"/>
    <w:rsid w:val="00CE3DBC"/>
    <w:rsid w:val="00D15865"/>
    <w:rsid w:val="00D62A67"/>
    <w:rsid w:val="00DA2BBA"/>
    <w:rsid w:val="00DC0D5A"/>
    <w:rsid w:val="00DC47F3"/>
    <w:rsid w:val="00DC7FA9"/>
    <w:rsid w:val="00DD5E37"/>
    <w:rsid w:val="00DF2EA1"/>
    <w:rsid w:val="00E11F2D"/>
    <w:rsid w:val="00E26720"/>
    <w:rsid w:val="00E545D8"/>
    <w:rsid w:val="00E817B3"/>
    <w:rsid w:val="00E90BC7"/>
    <w:rsid w:val="00EB6B41"/>
    <w:rsid w:val="00EE0615"/>
    <w:rsid w:val="00EE652F"/>
    <w:rsid w:val="00F26B29"/>
    <w:rsid w:val="00F91A7E"/>
    <w:rsid w:val="00F96598"/>
    <w:rsid w:val="00FA0C91"/>
    <w:rsid w:val="00FA177F"/>
    <w:rsid w:val="00FA70A2"/>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1533625">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1</Pages>
  <Words>269</Words>
  <Characters>1536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2024-11-27T10:08:00Z</dcterms:modified>
</cp:coreProperties>
</file>