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3210B9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F1E7C">
                              <w:rPr>
                                <w:rFonts w:ascii="Verdana" w:hAnsi="Verdana"/>
                                <w:b/>
                                <w:sz w:val="22"/>
                                <w:szCs w:val="22"/>
                              </w:rPr>
                              <w:t>25-L-005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3210B9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F1E7C">
                        <w:rPr>
                          <w:rFonts w:ascii="Verdana" w:hAnsi="Verdana"/>
                          <w:b/>
                          <w:sz w:val="22"/>
                          <w:szCs w:val="22"/>
                        </w:rPr>
                        <w:t>25-L-005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994D667" w14:textId="77777777" w:rsidR="001F1E7C" w:rsidRPr="001F1E7C" w:rsidRDefault="001F1E7C" w:rsidP="001F1E7C">
      <w:pPr>
        <w:rPr>
          <w:rFonts w:ascii="Verdana" w:hAnsi="Verdana"/>
          <w:b/>
          <w:bCs/>
          <w:noProof/>
          <w:sz w:val="22"/>
          <w:szCs w:val="22"/>
        </w:rPr>
      </w:pPr>
    </w:p>
    <w:p w14:paraId="098D72C1" w14:textId="77777777" w:rsidR="001F1E7C" w:rsidRPr="001F1E7C" w:rsidRDefault="001F1E7C" w:rsidP="001F1E7C">
      <w:pPr>
        <w:rPr>
          <w:rFonts w:ascii="Verdana" w:hAnsi="Verdana"/>
          <w:b/>
          <w:bCs/>
          <w:noProof/>
          <w:sz w:val="22"/>
          <w:szCs w:val="22"/>
        </w:rPr>
      </w:pPr>
      <w:r w:rsidRPr="001F1E7C">
        <w:rPr>
          <w:rFonts w:ascii="Verdana" w:hAnsi="Verdana"/>
          <w:b/>
          <w:bCs/>
          <w:noProof/>
          <w:sz w:val="22"/>
          <w:szCs w:val="22"/>
        </w:rPr>
        <w:t>Please provide the following information, with all data anonymised and excluding personal data.</w:t>
      </w:r>
    </w:p>
    <w:p w14:paraId="23148C05" w14:textId="429E9FB3" w:rsidR="001F1E7C" w:rsidRPr="001F1E7C" w:rsidRDefault="001F1E7C" w:rsidP="001F1E7C">
      <w:pPr>
        <w:pStyle w:val="ListParagraph"/>
        <w:numPr>
          <w:ilvl w:val="0"/>
          <w:numId w:val="20"/>
        </w:numPr>
        <w:rPr>
          <w:rFonts w:ascii="Verdana" w:hAnsi="Verdana"/>
          <w:b/>
          <w:bCs/>
          <w:noProof/>
          <w:sz w:val="22"/>
          <w:szCs w:val="22"/>
        </w:rPr>
      </w:pPr>
      <w:r w:rsidRPr="001F1E7C">
        <w:rPr>
          <w:rFonts w:ascii="Verdana" w:hAnsi="Verdana"/>
          <w:b/>
          <w:bCs/>
          <w:noProof/>
          <w:sz w:val="22"/>
          <w:szCs w:val="22"/>
        </w:rPr>
        <w:t>Locum Consultant Psychiatrist Appointments (2020–2025)</w:t>
      </w:r>
      <w:r>
        <w:rPr>
          <w:rFonts w:ascii="Verdana" w:hAnsi="Verdana"/>
          <w:b/>
          <w:bCs/>
          <w:noProof/>
          <w:sz w:val="22"/>
          <w:szCs w:val="22"/>
        </w:rPr>
        <w:br/>
      </w:r>
      <w:r w:rsidRPr="001F1E7C">
        <w:rPr>
          <w:rFonts w:ascii="Verdana" w:hAnsi="Verdana"/>
          <w:b/>
          <w:bCs/>
          <w:noProof/>
          <w:sz w:val="22"/>
          <w:szCs w:val="22"/>
        </w:rPr>
        <w:t>For each calendar year from 2020 to 2025 (inclusive):</w:t>
      </w:r>
      <w:r>
        <w:rPr>
          <w:rFonts w:ascii="Verdana" w:hAnsi="Verdana"/>
          <w:b/>
          <w:bCs/>
          <w:noProof/>
          <w:sz w:val="22"/>
          <w:szCs w:val="22"/>
        </w:rPr>
        <w:br/>
      </w:r>
    </w:p>
    <w:p w14:paraId="29F79B4D" w14:textId="1C00450B" w:rsidR="003B01C4" w:rsidRPr="003B01C4" w:rsidRDefault="001F1E7C" w:rsidP="003B01C4">
      <w:pPr>
        <w:pStyle w:val="ListParagraph"/>
        <w:numPr>
          <w:ilvl w:val="0"/>
          <w:numId w:val="21"/>
        </w:numPr>
        <w:rPr>
          <w:rFonts w:ascii="Verdana" w:hAnsi="Verdana"/>
          <w:noProof/>
          <w:sz w:val="22"/>
          <w:szCs w:val="22"/>
        </w:rPr>
      </w:pPr>
      <w:r w:rsidRPr="001F1E7C">
        <w:rPr>
          <w:rFonts w:ascii="Verdana" w:hAnsi="Verdana"/>
          <w:b/>
          <w:bCs/>
          <w:noProof/>
          <w:sz w:val="22"/>
          <w:szCs w:val="22"/>
        </w:rPr>
        <w:t>The number of locum consultant psychiatrist appointments made by SBUHB.</w:t>
      </w:r>
      <w:r w:rsidR="003B01C4">
        <w:rPr>
          <w:rFonts w:ascii="Verdana" w:hAnsi="Verdana"/>
          <w:b/>
          <w:bCs/>
          <w:noProof/>
          <w:sz w:val="22"/>
          <w:szCs w:val="22"/>
        </w:rPr>
        <w:br/>
      </w:r>
      <w:r w:rsidR="003B01C4" w:rsidRPr="003B01C4">
        <w:rPr>
          <w:rFonts w:ascii="Verdana" w:hAnsi="Verdana"/>
          <w:noProof/>
          <w:sz w:val="22"/>
          <w:szCs w:val="22"/>
        </w:rPr>
        <w:t>2020 -</w:t>
      </w:r>
      <w:r w:rsidR="003B01C4">
        <w:rPr>
          <w:rFonts w:ascii="Verdana" w:hAnsi="Verdana"/>
          <w:noProof/>
          <w:sz w:val="22"/>
          <w:szCs w:val="22"/>
        </w:rPr>
        <w:t xml:space="preserve"> </w:t>
      </w:r>
      <w:r w:rsidR="00F836B3">
        <w:rPr>
          <w:rFonts w:ascii="Verdana" w:hAnsi="Verdana"/>
          <w:noProof/>
          <w:sz w:val="22"/>
          <w:szCs w:val="22"/>
        </w:rPr>
        <w:t>0</w:t>
      </w:r>
      <w:r w:rsidRPr="003B01C4">
        <w:rPr>
          <w:rFonts w:ascii="Verdana" w:hAnsi="Verdana"/>
          <w:noProof/>
          <w:sz w:val="22"/>
          <w:szCs w:val="22"/>
        </w:rPr>
        <w:br/>
      </w:r>
      <w:r w:rsidR="003B01C4" w:rsidRPr="003B01C4">
        <w:rPr>
          <w:rFonts w:ascii="Verdana" w:hAnsi="Verdana"/>
          <w:noProof/>
          <w:sz w:val="22"/>
          <w:szCs w:val="22"/>
        </w:rPr>
        <w:t>2021 – 4</w:t>
      </w:r>
    </w:p>
    <w:p w14:paraId="1B0DAD92" w14:textId="77777777" w:rsidR="003B01C4" w:rsidRPr="003B01C4" w:rsidRDefault="003B01C4" w:rsidP="003B01C4">
      <w:pPr>
        <w:pStyle w:val="ListParagraph"/>
        <w:ind w:left="865"/>
        <w:rPr>
          <w:rFonts w:ascii="Verdana" w:hAnsi="Verdana"/>
          <w:noProof/>
          <w:sz w:val="22"/>
          <w:szCs w:val="22"/>
        </w:rPr>
      </w:pPr>
      <w:r w:rsidRPr="003B01C4">
        <w:rPr>
          <w:rFonts w:ascii="Verdana" w:hAnsi="Verdana"/>
          <w:noProof/>
          <w:sz w:val="22"/>
          <w:szCs w:val="22"/>
        </w:rPr>
        <w:t xml:space="preserve">2022 – 2 </w:t>
      </w:r>
    </w:p>
    <w:p w14:paraId="76C87049" w14:textId="77777777" w:rsidR="003B01C4" w:rsidRPr="003B01C4" w:rsidRDefault="003B01C4" w:rsidP="003B01C4">
      <w:pPr>
        <w:pStyle w:val="ListParagraph"/>
        <w:ind w:left="865"/>
        <w:rPr>
          <w:rFonts w:ascii="Verdana" w:hAnsi="Verdana"/>
          <w:noProof/>
          <w:sz w:val="22"/>
          <w:szCs w:val="22"/>
        </w:rPr>
      </w:pPr>
      <w:r w:rsidRPr="003B01C4">
        <w:rPr>
          <w:rFonts w:ascii="Verdana" w:hAnsi="Verdana"/>
          <w:noProof/>
          <w:sz w:val="22"/>
          <w:szCs w:val="22"/>
        </w:rPr>
        <w:t>2023 – 2</w:t>
      </w:r>
    </w:p>
    <w:p w14:paraId="02888DD8" w14:textId="77777777" w:rsidR="003B01C4" w:rsidRPr="003B01C4" w:rsidRDefault="003B01C4" w:rsidP="003B01C4">
      <w:pPr>
        <w:pStyle w:val="ListParagraph"/>
        <w:ind w:left="865"/>
        <w:rPr>
          <w:rFonts w:ascii="Verdana" w:hAnsi="Verdana"/>
          <w:noProof/>
          <w:sz w:val="22"/>
          <w:szCs w:val="22"/>
        </w:rPr>
      </w:pPr>
      <w:r w:rsidRPr="003B01C4">
        <w:rPr>
          <w:rFonts w:ascii="Verdana" w:hAnsi="Verdana"/>
          <w:noProof/>
          <w:sz w:val="22"/>
          <w:szCs w:val="22"/>
        </w:rPr>
        <w:t>2024 – 2</w:t>
      </w:r>
    </w:p>
    <w:p w14:paraId="4BB64B8B" w14:textId="77777777" w:rsidR="003B01C4" w:rsidRPr="003B01C4" w:rsidRDefault="003B01C4" w:rsidP="003B01C4">
      <w:pPr>
        <w:pStyle w:val="ListParagraph"/>
        <w:ind w:left="865"/>
        <w:rPr>
          <w:rFonts w:ascii="Verdana" w:hAnsi="Verdana"/>
          <w:noProof/>
          <w:sz w:val="22"/>
          <w:szCs w:val="22"/>
        </w:rPr>
      </w:pPr>
      <w:r w:rsidRPr="003B01C4">
        <w:rPr>
          <w:rFonts w:ascii="Verdana" w:hAnsi="Verdana"/>
          <w:noProof/>
          <w:sz w:val="22"/>
          <w:szCs w:val="22"/>
        </w:rPr>
        <w:t xml:space="preserve">2025 – 3 </w:t>
      </w:r>
    </w:p>
    <w:p w14:paraId="664C5FB3" w14:textId="2B7CF68E" w:rsidR="001F1E7C" w:rsidRPr="001F1E7C" w:rsidRDefault="001F1E7C" w:rsidP="003B01C4">
      <w:pPr>
        <w:pStyle w:val="ListParagraph"/>
        <w:ind w:left="865"/>
        <w:rPr>
          <w:rFonts w:ascii="Verdana" w:hAnsi="Verdana"/>
          <w:b/>
          <w:bCs/>
          <w:noProof/>
          <w:sz w:val="22"/>
          <w:szCs w:val="22"/>
        </w:rPr>
      </w:pPr>
      <w:r>
        <w:rPr>
          <w:rFonts w:ascii="Verdana" w:hAnsi="Verdana"/>
          <w:b/>
          <w:bCs/>
          <w:noProof/>
          <w:sz w:val="22"/>
          <w:szCs w:val="22"/>
        </w:rPr>
        <w:br/>
      </w:r>
    </w:p>
    <w:p w14:paraId="316C9000" w14:textId="4F8C5D76" w:rsidR="003B01C4" w:rsidRPr="003B01C4" w:rsidRDefault="001F1E7C" w:rsidP="003B01C4">
      <w:pPr>
        <w:pStyle w:val="ListParagraph"/>
        <w:numPr>
          <w:ilvl w:val="0"/>
          <w:numId w:val="21"/>
        </w:numPr>
        <w:rPr>
          <w:rFonts w:ascii="Verdana" w:hAnsi="Verdana"/>
          <w:noProof/>
          <w:sz w:val="22"/>
          <w:szCs w:val="22"/>
        </w:rPr>
      </w:pPr>
      <w:r w:rsidRPr="001F1E7C">
        <w:rPr>
          <w:rFonts w:ascii="Verdana" w:hAnsi="Verdana"/>
          <w:b/>
          <w:bCs/>
          <w:noProof/>
          <w:sz w:val="22"/>
          <w:szCs w:val="22"/>
        </w:rPr>
        <w:t>Of these, the number where the appointee was not on the GMC Specialist Register for Psychiatry at the time of appointment.</w:t>
      </w:r>
      <w:r>
        <w:rPr>
          <w:rFonts w:ascii="Verdana" w:hAnsi="Verdana"/>
          <w:b/>
          <w:bCs/>
          <w:noProof/>
          <w:sz w:val="22"/>
          <w:szCs w:val="22"/>
        </w:rPr>
        <w:br/>
      </w:r>
      <w:r w:rsidR="003B01C4">
        <w:rPr>
          <w:rFonts w:ascii="Verdana" w:hAnsi="Verdana"/>
          <w:noProof/>
          <w:sz w:val="22"/>
          <w:szCs w:val="22"/>
        </w:rPr>
        <w:t xml:space="preserve">2020 - </w:t>
      </w:r>
      <w:r w:rsidR="00F836B3">
        <w:rPr>
          <w:rFonts w:ascii="Verdana" w:hAnsi="Verdana"/>
          <w:noProof/>
          <w:sz w:val="22"/>
          <w:szCs w:val="22"/>
        </w:rPr>
        <w:t>0</w:t>
      </w:r>
      <w:r w:rsidR="003B01C4">
        <w:rPr>
          <w:rFonts w:ascii="Verdana" w:hAnsi="Verdana"/>
          <w:noProof/>
          <w:sz w:val="22"/>
          <w:szCs w:val="22"/>
        </w:rPr>
        <w:br/>
      </w:r>
      <w:r w:rsidR="003B01C4" w:rsidRPr="003B01C4">
        <w:rPr>
          <w:rFonts w:ascii="Verdana" w:hAnsi="Verdana"/>
          <w:noProof/>
          <w:sz w:val="22"/>
          <w:szCs w:val="22"/>
        </w:rPr>
        <w:t>2021 – 4</w:t>
      </w:r>
    </w:p>
    <w:p w14:paraId="2CDD2DA9" w14:textId="77777777" w:rsidR="003B01C4" w:rsidRPr="003B01C4" w:rsidRDefault="003B01C4" w:rsidP="003B01C4">
      <w:pPr>
        <w:pStyle w:val="ListParagraph"/>
        <w:ind w:left="865"/>
        <w:rPr>
          <w:rFonts w:ascii="Verdana" w:hAnsi="Verdana"/>
          <w:noProof/>
          <w:sz w:val="22"/>
          <w:szCs w:val="22"/>
        </w:rPr>
      </w:pPr>
      <w:r w:rsidRPr="003B01C4">
        <w:rPr>
          <w:rFonts w:ascii="Verdana" w:hAnsi="Verdana"/>
          <w:noProof/>
          <w:sz w:val="22"/>
          <w:szCs w:val="22"/>
        </w:rPr>
        <w:t xml:space="preserve">2022 – 2 </w:t>
      </w:r>
    </w:p>
    <w:p w14:paraId="3C2D882F" w14:textId="77777777" w:rsidR="003B01C4" w:rsidRPr="003B01C4" w:rsidRDefault="003B01C4" w:rsidP="003B01C4">
      <w:pPr>
        <w:pStyle w:val="ListParagraph"/>
        <w:ind w:left="865"/>
        <w:rPr>
          <w:rFonts w:ascii="Verdana" w:hAnsi="Verdana"/>
          <w:noProof/>
          <w:sz w:val="22"/>
          <w:szCs w:val="22"/>
        </w:rPr>
      </w:pPr>
      <w:r w:rsidRPr="003B01C4">
        <w:rPr>
          <w:rFonts w:ascii="Verdana" w:hAnsi="Verdana"/>
          <w:noProof/>
          <w:sz w:val="22"/>
          <w:szCs w:val="22"/>
        </w:rPr>
        <w:t>2023 – 2</w:t>
      </w:r>
    </w:p>
    <w:p w14:paraId="39CE3A1B" w14:textId="77777777" w:rsidR="003B01C4" w:rsidRPr="003B01C4" w:rsidRDefault="003B01C4" w:rsidP="003B01C4">
      <w:pPr>
        <w:pStyle w:val="ListParagraph"/>
        <w:ind w:left="865"/>
        <w:rPr>
          <w:rFonts w:ascii="Verdana" w:hAnsi="Verdana"/>
          <w:noProof/>
          <w:sz w:val="22"/>
          <w:szCs w:val="22"/>
        </w:rPr>
      </w:pPr>
      <w:r w:rsidRPr="003B01C4">
        <w:rPr>
          <w:rFonts w:ascii="Verdana" w:hAnsi="Verdana"/>
          <w:noProof/>
          <w:sz w:val="22"/>
          <w:szCs w:val="22"/>
        </w:rPr>
        <w:t>2024 – 2</w:t>
      </w:r>
    </w:p>
    <w:p w14:paraId="3797FF24" w14:textId="77777777" w:rsidR="003B01C4" w:rsidRPr="003B01C4" w:rsidRDefault="003B01C4" w:rsidP="003B01C4">
      <w:pPr>
        <w:pStyle w:val="ListParagraph"/>
        <w:ind w:left="865"/>
        <w:rPr>
          <w:rFonts w:ascii="Verdana" w:hAnsi="Verdana"/>
          <w:noProof/>
          <w:sz w:val="22"/>
          <w:szCs w:val="22"/>
        </w:rPr>
      </w:pPr>
      <w:r w:rsidRPr="003B01C4">
        <w:rPr>
          <w:rFonts w:ascii="Verdana" w:hAnsi="Verdana"/>
          <w:noProof/>
          <w:sz w:val="22"/>
          <w:szCs w:val="22"/>
        </w:rPr>
        <w:t xml:space="preserve">2025 – 3 </w:t>
      </w:r>
    </w:p>
    <w:p w14:paraId="17310CE1" w14:textId="5D23E00B" w:rsidR="00037AD5" w:rsidRPr="002634F5" w:rsidRDefault="001F1E7C" w:rsidP="003B01C4">
      <w:pPr>
        <w:pStyle w:val="ListParagraph"/>
        <w:ind w:left="865"/>
        <w:rPr>
          <w:rFonts w:ascii="Verdana" w:hAnsi="Verdana"/>
          <w:b/>
          <w:bCs/>
          <w:noProof/>
          <w:sz w:val="22"/>
          <w:szCs w:val="22"/>
        </w:rPr>
      </w:pPr>
      <w:r>
        <w:rPr>
          <w:rFonts w:ascii="Verdana" w:hAnsi="Verdana"/>
          <w:b/>
          <w:bCs/>
          <w:noProof/>
          <w:sz w:val="22"/>
          <w:szCs w:val="22"/>
        </w:rPr>
        <w:br/>
      </w:r>
      <w:r w:rsidR="00037AD5" w:rsidRPr="002634F5">
        <w:rPr>
          <w:rFonts w:ascii="Verdana" w:hAnsi="Verdana"/>
          <w:b/>
          <w:bCs/>
          <w:noProof/>
          <w:sz w:val="22"/>
          <w:szCs w:val="22"/>
        </w:rPr>
        <w:br/>
      </w:r>
    </w:p>
    <w:p w14:paraId="67A32D35" w14:textId="3421F311" w:rsidR="001F1E7C" w:rsidRPr="002507D3" w:rsidRDefault="001F1E7C" w:rsidP="002507D3">
      <w:pPr>
        <w:pStyle w:val="ListParagraph"/>
        <w:numPr>
          <w:ilvl w:val="0"/>
          <w:numId w:val="20"/>
        </w:numPr>
        <w:rPr>
          <w:rFonts w:ascii="Verdana" w:hAnsi="Verdana"/>
          <w:b/>
          <w:bCs/>
          <w:noProof/>
          <w:sz w:val="22"/>
          <w:szCs w:val="22"/>
        </w:rPr>
      </w:pPr>
      <w:r w:rsidRPr="002C452C">
        <w:rPr>
          <w:rFonts w:ascii="Verdana" w:hAnsi="Verdana"/>
          <w:b/>
          <w:bCs/>
          <w:noProof/>
          <w:sz w:val="22"/>
          <w:szCs w:val="22"/>
        </w:rPr>
        <w:t>Appointment Procedures</w:t>
      </w:r>
      <w:r w:rsidRPr="002C452C">
        <w:rPr>
          <w:rFonts w:ascii="Verdana" w:hAnsi="Verdana"/>
          <w:b/>
          <w:bCs/>
          <w:noProof/>
          <w:sz w:val="22"/>
          <w:szCs w:val="22"/>
        </w:rPr>
        <w:br/>
        <w:t>Please provide copies of any policies, procedures, competency assessments, checklists, or</w:t>
      </w:r>
      <w:r w:rsidR="0049162A">
        <w:rPr>
          <w:rFonts w:ascii="Verdana" w:hAnsi="Verdana"/>
          <w:b/>
          <w:bCs/>
          <w:noProof/>
          <w:sz w:val="22"/>
          <w:szCs w:val="22"/>
        </w:rPr>
        <w:t xml:space="preserve"> </w:t>
      </w:r>
      <w:r w:rsidRPr="002C452C">
        <w:rPr>
          <w:rFonts w:ascii="Verdana" w:hAnsi="Verdana"/>
          <w:b/>
          <w:bCs/>
          <w:noProof/>
          <w:sz w:val="22"/>
          <w:szCs w:val="22"/>
        </w:rPr>
        <w:t>internal guidance used by SBUHB when appointing clinicians to locum consultant psychiatrist roles, particularly addressing how competence and suitability are assessed for those not on the Specialist Register.</w:t>
      </w:r>
      <w:r w:rsidR="002634F5" w:rsidRPr="002C452C">
        <w:rPr>
          <w:rFonts w:ascii="Verdana" w:hAnsi="Verdana"/>
          <w:b/>
          <w:bCs/>
          <w:noProof/>
          <w:sz w:val="22"/>
          <w:szCs w:val="22"/>
        </w:rPr>
        <w:br/>
      </w:r>
      <w:r w:rsidR="002634F5" w:rsidRPr="002C452C">
        <w:rPr>
          <w:rFonts w:ascii="Verdana" w:hAnsi="Verdana"/>
          <w:noProof/>
          <w:sz w:val="22"/>
          <w:szCs w:val="22"/>
        </w:rPr>
        <w:t>Please find attached appendices 1</w:t>
      </w:r>
      <w:r w:rsidR="005824B0" w:rsidRPr="002C452C">
        <w:rPr>
          <w:rFonts w:ascii="Verdana" w:hAnsi="Verdana"/>
          <w:noProof/>
          <w:sz w:val="22"/>
          <w:szCs w:val="22"/>
        </w:rPr>
        <w:t xml:space="preserve"> and 2. As well as this, please find attached </w:t>
      </w:r>
      <w:r w:rsidR="00E6310F" w:rsidRPr="002C452C">
        <w:rPr>
          <w:rFonts w:ascii="Verdana" w:hAnsi="Verdana"/>
          <w:noProof/>
          <w:sz w:val="22"/>
          <w:szCs w:val="22"/>
        </w:rPr>
        <w:t xml:space="preserve">a copy of </w:t>
      </w:r>
      <w:r w:rsidR="00CF342F">
        <w:rPr>
          <w:rFonts w:ascii="Verdana" w:hAnsi="Verdana"/>
          <w:noProof/>
          <w:sz w:val="22"/>
          <w:szCs w:val="22"/>
        </w:rPr>
        <w:t xml:space="preserve">the </w:t>
      </w:r>
      <w:r w:rsidR="00CF342F" w:rsidRPr="00CF342F">
        <w:rPr>
          <w:rFonts w:ascii="Verdana" w:hAnsi="Verdana"/>
          <w:noProof/>
          <w:sz w:val="22"/>
          <w:szCs w:val="22"/>
        </w:rPr>
        <w:t>B</w:t>
      </w:r>
      <w:r w:rsidR="00CF342F">
        <w:rPr>
          <w:rFonts w:ascii="Verdana" w:hAnsi="Verdana"/>
          <w:noProof/>
          <w:sz w:val="22"/>
          <w:szCs w:val="22"/>
        </w:rPr>
        <w:t xml:space="preserve">ritish </w:t>
      </w:r>
      <w:r w:rsidR="00CF342F" w:rsidRPr="00CF342F">
        <w:rPr>
          <w:rFonts w:ascii="Verdana" w:hAnsi="Verdana"/>
          <w:noProof/>
          <w:sz w:val="22"/>
          <w:szCs w:val="22"/>
        </w:rPr>
        <w:t>M</w:t>
      </w:r>
      <w:r w:rsidR="00CF342F">
        <w:rPr>
          <w:rFonts w:ascii="Verdana" w:hAnsi="Verdana"/>
          <w:noProof/>
          <w:sz w:val="22"/>
          <w:szCs w:val="22"/>
        </w:rPr>
        <w:t xml:space="preserve">edical </w:t>
      </w:r>
      <w:r w:rsidR="00CF342F" w:rsidRPr="00CF342F">
        <w:rPr>
          <w:rFonts w:ascii="Verdana" w:hAnsi="Verdana"/>
          <w:noProof/>
          <w:sz w:val="22"/>
          <w:szCs w:val="22"/>
        </w:rPr>
        <w:t>A</w:t>
      </w:r>
      <w:r w:rsidR="00CF342F">
        <w:rPr>
          <w:rFonts w:ascii="Verdana" w:hAnsi="Verdana"/>
          <w:noProof/>
          <w:sz w:val="22"/>
          <w:szCs w:val="22"/>
        </w:rPr>
        <w:t>ssociation</w:t>
      </w:r>
      <w:r w:rsidR="00CF342F" w:rsidRPr="00CF342F">
        <w:rPr>
          <w:rFonts w:ascii="Verdana" w:hAnsi="Verdana"/>
          <w:noProof/>
          <w:sz w:val="22"/>
          <w:szCs w:val="22"/>
        </w:rPr>
        <w:t xml:space="preserve"> T&amp;Cs for Consultant Contracts in Wale</w:t>
      </w:r>
      <w:r w:rsidR="00CF342F">
        <w:rPr>
          <w:rFonts w:ascii="Verdana" w:hAnsi="Verdana"/>
          <w:noProof/>
          <w:sz w:val="22"/>
          <w:szCs w:val="22"/>
        </w:rPr>
        <w:t>s</w:t>
      </w:r>
      <w:r w:rsidR="000C79CC">
        <w:rPr>
          <w:rFonts w:ascii="Verdana" w:hAnsi="Verdana"/>
          <w:noProof/>
          <w:sz w:val="22"/>
          <w:szCs w:val="22"/>
        </w:rPr>
        <w:t xml:space="preserve"> (Appendix 3)</w:t>
      </w:r>
      <w:r w:rsidR="00CF342F">
        <w:rPr>
          <w:rFonts w:ascii="Verdana" w:hAnsi="Verdana"/>
          <w:noProof/>
          <w:sz w:val="22"/>
          <w:szCs w:val="22"/>
        </w:rPr>
        <w:t xml:space="preserve">. Updates to terms and pay conditions since this was published can </w:t>
      </w:r>
      <w:r w:rsidR="00CF342F">
        <w:rPr>
          <w:rFonts w:ascii="Verdana" w:hAnsi="Verdana"/>
          <w:noProof/>
          <w:sz w:val="22"/>
          <w:szCs w:val="22"/>
        </w:rPr>
        <w:lastRenderedPageBreak/>
        <w:t xml:space="preserve">be found here - </w:t>
      </w:r>
      <w:hyperlink r:id="rId8" w:history="1">
        <w:r w:rsidR="00CF342F" w:rsidRPr="00AD360F">
          <w:rPr>
            <w:rStyle w:val="Hyperlink"/>
            <w:rFonts w:ascii="Verdana" w:hAnsi="Verdana" w:cs="Arial"/>
            <w:noProof/>
            <w:sz w:val="22"/>
            <w:szCs w:val="22"/>
          </w:rPr>
          <w:t>https://www.nhs.wales/hpb/nhs-pay-and-conditions/</w:t>
        </w:r>
      </w:hyperlink>
      <w:r w:rsidR="00CF342F">
        <w:rPr>
          <w:rFonts w:ascii="Verdana" w:hAnsi="Verdana"/>
          <w:noProof/>
          <w:sz w:val="22"/>
          <w:szCs w:val="22"/>
        </w:rPr>
        <w:t xml:space="preserve"> </w:t>
      </w:r>
      <w:r w:rsidR="00CF342F">
        <w:rPr>
          <w:rFonts w:ascii="Verdana" w:hAnsi="Verdana"/>
          <w:noProof/>
          <w:sz w:val="22"/>
          <w:szCs w:val="22"/>
        </w:rPr>
        <w:br/>
      </w:r>
      <w:r w:rsidR="00CF342F">
        <w:rPr>
          <w:rFonts w:ascii="Verdana" w:hAnsi="Verdana"/>
          <w:noProof/>
          <w:sz w:val="22"/>
          <w:szCs w:val="22"/>
        </w:rPr>
        <w:br/>
        <w:t>You will also find attached the National Consultant Contract for Wales</w:t>
      </w:r>
      <w:r w:rsidR="00E6310F" w:rsidRPr="002C452C">
        <w:rPr>
          <w:rFonts w:ascii="Verdana" w:hAnsi="Verdana"/>
          <w:noProof/>
          <w:sz w:val="22"/>
          <w:szCs w:val="22"/>
        </w:rPr>
        <w:t xml:space="preserve"> </w:t>
      </w:r>
      <w:r w:rsidR="002507D3">
        <w:rPr>
          <w:rFonts w:ascii="Verdana" w:hAnsi="Verdana"/>
          <w:noProof/>
          <w:sz w:val="22"/>
          <w:szCs w:val="22"/>
        </w:rPr>
        <w:t xml:space="preserve">(Appendix 4) </w:t>
      </w:r>
      <w:r w:rsidR="00E6310F" w:rsidRPr="002507D3">
        <w:rPr>
          <w:rFonts w:ascii="Verdana" w:hAnsi="Verdana"/>
          <w:noProof/>
          <w:sz w:val="22"/>
          <w:szCs w:val="22"/>
        </w:rPr>
        <w:t xml:space="preserve">which </w:t>
      </w:r>
      <w:r w:rsidR="00CF342F" w:rsidRPr="002507D3">
        <w:rPr>
          <w:rFonts w:ascii="Verdana" w:hAnsi="Verdana"/>
          <w:noProof/>
          <w:sz w:val="22"/>
          <w:szCs w:val="22"/>
        </w:rPr>
        <w:t xml:space="preserve">is </w:t>
      </w:r>
      <w:r w:rsidR="00E6310F" w:rsidRPr="002507D3">
        <w:rPr>
          <w:rFonts w:ascii="Verdana" w:hAnsi="Verdana"/>
          <w:noProof/>
          <w:sz w:val="22"/>
          <w:szCs w:val="22"/>
        </w:rPr>
        <w:t>complied with by the Health Board when appointing clinicians to Loc</w:t>
      </w:r>
      <w:r w:rsidR="002C452C" w:rsidRPr="002507D3">
        <w:rPr>
          <w:rFonts w:ascii="Verdana" w:hAnsi="Verdana"/>
          <w:noProof/>
          <w:sz w:val="22"/>
          <w:szCs w:val="22"/>
        </w:rPr>
        <w:t>um Consultant Psychiatrist roles.</w:t>
      </w:r>
      <w:r w:rsidR="00250DF6" w:rsidRPr="002507D3">
        <w:rPr>
          <w:rFonts w:ascii="Verdana" w:hAnsi="Verdana"/>
          <w:noProof/>
          <w:sz w:val="22"/>
          <w:szCs w:val="22"/>
        </w:rPr>
        <w:t xml:space="preserve"> </w:t>
      </w:r>
      <w:r w:rsidR="002C452C" w:rsidRPr="002507D3">
        <w:rPr>
          <w:rFonts w:ascii="Verdana" w:hAnsi="Verdana"/>
          <w:noProof/>
          <w:sz w:val="22"/>
          <w:szCs w:val="22"/>
        </w:rPr>
        <w:br/>
      </w:r>
      <w:r w:rsidR="002C452C" w:rsidRPr="002507D3">
        <w:rPr>
          <w:rFonts w:ascii="Verdana" w:hAnsi="Verdana"/>
          <w:noProof/>
          <w:sz w:val="22"/>
          <w:szCs w:val="22"/>
        </w:rPr>
        <w:br/>
      </w:r>
    </w:p>
    <w:p w14:paraId="74D1FEF6" w14:textId="5A32B15B" w:rsidR="001F1E7C" w:rsidRPr="001F1E7C" w:rsidRDefault="001F1E7C" w:rsidP="001F1E7C">
      <w:pPr>
        <w:pStyle w:val="ListParagraph"/>
        <w:numPr>
          <w:ilvl w:val="0"/>
          <w:numId w:val="20"/>
        </w:numPr>
        <w:rPr>
          <w:rFonts w:ascii="Verdana" w:hAnsi="Verdana"/>
          <w:b/>
          <w:bCs/>
          <w:noProof/>
          <w:sz w:val="22"/>
          <w:szCs w:val="22"/>
        </w:rPr>
      </w:pPr>
      <w:bookmarkStart w:id="0" w:name="_Hlk218244399"/>
      <w:r w:rsidRPr="001F1E7C">
        <w:rPr>
          <w:rFonts w:ascii="Verdana" w:hAnsi="Verdana"/>
          <w:b/>
          <w:bCs/>
          <w:noProof/>
          <w:sz w:val="22"/>
          <w:szCs w:val="22"/>
        </w:rPr>
        <w:t>Governance and Oversight Data</w:t>
      </w:r>
      <w:r>
        <w:rPr>
          <w:rFonts w:ascii="Verdana" w:hAnsi="Verdana"/>
          <w:b/>
          <w:bCs/>
          <w:noProof/>
          <w:sz w:val="22"/>
          <w:szCs w:val="22"/>
        </w:rPr>
        <w:br/>
      </w:r>
      <w:r w:rsidRPr="001F1E7C">
        <w:rPr>
          <w:rFonts w:ascii="Verdana" w:hAnsi="Verdana"/>
          <w:b/>
          <w:bCs/>
          <w:noProof/>
          <w:sz w:val="22"/>
          <w:szCs w:val="22"/>
        </w:rPr>
        <w:t>For the same period:</w:t>
      </w:r>
      <w:r>
        <w:rPr>
          <w:rFonts w:ascii="Verdana" w:hAnsi="Verdana"/>
          <w:b/>
          <w:bCs/>
          <w:noProof/>
          <w:sz w:val="22"/>
          <w:szCs w:val="22"/>
        </w:rPr>
        <w:br/>
      </w:r>
    </w:p>
    <w:p w14:paraId="7A3D0650" w14:textId="4DBA540B" w:rsidR="002634F5" w:rsidRDefault="001F1E7C" w:rsidP="001F1E7C">
      <w:pPr>
        <w:pStyle w:val="ListParagraph"/>
        <w:numPr>
          <w:ilvl w:val="0"/>
          <w:numId w:val="23"/>
        </w:numPr>
        <w:rPr>
          <w:rFonts w:ascii="Verdana" w:hAnsi="Verdana"/>
          <w:b/>
          <w:bCs/>
          <w:noProof/>
          <w:sz w:val="22"/>
          <w:szCs w:val="22"/>
        </w:rPr>
      </w:pPr>
      <w:r w:rsidRPr="001F1E7C">
        <w:rPr>
          <w:rFonts w:ascii="Verdana" w:hAnsi="Verdana"/>
          <w:b/>
          <w:bCs/>
          <w:noProof/>
          <w:sz w:val="22"/>
          <w:szCs w:val="22"/>
        </w:rPr>
        <w:t>The number of occasions where SBUHB’s internal governance processes identified concerns about the competence or suitability of locum consultant psychiatrists (anonymised, no names).</w:t>
      </w:r>
      <w:bookmarkEnd w:id="0"/>
      <w:r w:rsidR="002634F5">
        <w:rPr>
          <w:rFonts w:ascii="Verdana" w:hAnsi="Verdana"/>
          <w:b/>
          <w:bCs/>
          <w:noProof/>
          <w:sz w:val="22"/>
          <w:szCs w:val="22"/>
        </w:rPr>
        <w:br/>
      </w:r>
      <w:r w:rsidR="002634F5" w:rsidRPr="002634F5">
        <w:rPr>
          <w:rFonts w:ascii="Verdana" w:hAnsi="Verdana"/>
          <w:noProof/>
          <w:sz w:val="22"/>
          <w:szCs w:val="22"/>
        </w:rPr>
        <w:t xml:space="preserve">Please find below </w:t>
      </w:r>
      <w:r w:rsidR="002634F5">
        <w:rPr>
          <w:rFonts w:ascii="Verdana" w:hAnsi="Verdana"/>
          <w:noProof/>
          <w:sz w:val="22"/>
          <w:szCs w:val="22"/>
        </w:rPr>
        <w:t>the number of occasions</w:t>
      </w:r>
      <w:r w:rsidR="002634F5" w:rsidRPr="002634F5">
        <w:rPr>
          <w:rFonts w:ascii="Verdana" w:hAnsi="Verdana"/>
          <w:noProof/>
          <w:sz w:val="22"/>
          <w:szCs w:val="22"/>
        </w:rPr>
        <w:t xml:space="preserve"> when a Psychiatric Locum Consultant has been discussed at </w:t>
      </w:r>
      <w:r w:rsidR="005878C8" w:rsidRPr="005878C8">
        <w:rPr>
          <w:rFonts w:ascii="Verdana" w:hAnsi="Verdana"/>
          <w:noProof/>
          <w:sz w:val="22"/>
          <w:szCs w:val="22"/>
        </w:rPr>
        <w:t xml:space="preserve">Responsible Officer Advisory Group </w:t>
      </w:r>
      <w:r w:rsidR="005878C8">
        <w:rPr>
          <w:rFonts w:ascii="Verdana" w:hAnsi="Verdana"/>
          <w:noProof/>
          <w:sz w:val="22"/>
          <w:szCs w:val="22"/>
        </w:rPr>
        <w:t>(</w:t>
      </w:r>
      <w:r w:rsidR="002634F5" w:rsidRPr="005878C8">
        <w:rPr>
          <w:rFonts w:ascii="Verdana" w:hAnsi="Verdana"/>
          <w:noProof/>
          <w:sz w:val="22"/>
          <w:szCs w:val="22"/>
        </w:rPr>
        <w:t>ROAG</w:t>
      </w:r>
      <w:r w:rsidR="005878C8" w:rsidRPr="005878C8">
        <w:rPr>
          <w:rFonts w:ascii="Verdana" w:hAnsi="Verdana"/>
          <w:noProof/>
          <w:sz w:val="22"/>
          <w:szCs w:val="22"/>
        </w:rPr>
        <w:t>)</w:t>
      </w:r>
      <w:r w:rsidR="002634F5" w:rsidRPr="005878C8">
        <w:rPr>
          <w:rFonts w:ascii="Verdana" w:hAnsi="Verdana"/>
          <w:noProof/>
          <w:sz w:val="22"/>
          <w:szCs w:val="22"/>
        </w:rPr>
        <w:t xml:space="preserve"> </w:t>
      </w:r>
      <w:r w:rsidR="002634F5" w:rsidRPr="002634F5">
        <w:rPr>
          <w:rFonts w:ascii="Verdana" w:hAnsi="Verdana"/>
          <w:noProof/>
          <w:sz w:val="22"/>
          <w:szCs w:val="22"/>
        </w:rPr>
        <w:t>during period of 2020-2025.</w:t>
      </w:r>
      <w:r w:rsidR="002634F5">
        <w:rPr>
          <w:rFonts w:ascii="Verdana" w:hAnsi="Verdana"/>
          <w:noProof/>
          <w:sz w:val="22"/>
          <w:szCs w:val="22"/>
        </w:rPr>
        <w:t xml:space="preserve"> </w:t>
      </w:r>
      <w:r w:rsidR="0032497A">
        <w:rPr>
          <w:rFonts w:ascii="Verdana" w:hAnsi="Verdana"/>
          <w:noProof/>
          <w:sz w:val="22"/>
          <w:szCs w:val="22"/>
        </w:rPr>
        <w:br/>
      </w:r>
      <w:r w:rsidR="006A57A5" w:rsidRPr="006A57A5">
        <w:rPr>
          <w:rFonts w:ascii="Verdana" w:hAnsi="Verdana"/>
          <w:noProof/>
          <w:sz w:val="22"/>
          <w:szCs w:val="22"/>
        </w:rPr>
        <w:t xml:space="preserve">Please note that the figures below relate to the number of times an individual was discussed. For example, if one individual was discussed in three separate meetings, this would be counted three times in the figure for that year. </w:t>
      </w:r>
    </w:p>
    <w:tbl>
      <w:tblPr>
        <w:tblW w:w="1880" w:type="dxa"/>
        <w:jc w:val="center"/>
        <w:tblLook w:val="04A0" w:firstRow="1" w:lastRow="0" w:firstColumn="1" w:lastColumn="0" w:noHBand="0" w:noVBand="1"/>
      </w:tblPr>
      <w:tblGrid>
        <w:gridCol w:w="920"/>
        <w:gridCol w:w="960"/>
      </w:tblGrid>
      <w:tr w:rsidR="002634F5" w:rsidRPr="002634F5" w14:paraId="51AE21CB" w14:textId="77777777" w:rsidTr="002634F5">
        <w:trPr>
          <w:trHeight w:val="525"/>
          <w:jc w:val="center"/>
        </w:trPr>
        <w:tc>
          <w:tcPr>
            <w:tcW w:w="920" w:type="dxa"/>
            <w:tcBorders>
              <w:top w:val="single" w:sz="4" w:space="0" w:color="auto"/>
              <w:left w:val="single" w:sz="4" w:space="0" w:color="auto"/>
              <w:bottom w:val="single" w:sz="4" w:space="0" w:color="auto"/>
              <w:right w:val="single" w:sz="4" w:space="0" w:color="auto"/>
            </w:tcBorders>
            <w:noWrap/>
            <w:vAlign w:val="center"/>
            <w:hideMark/>
          </w:tcPr>
          <w:p w14:paraId="122818E9" w14:textId="77777777" w:rsidR="002634F5" w:rsidRPr="002634F5" w:rsidRDefault="002634F5" w:rsidP="002634F5">
            <w:pPr>
              <w:spacing w:before="0" w:after="0" w:line="240" w:lineRule="auto"/>
              <w:ind w:left="0" w:right="0"/>
              <w:jc w:val="center"/>
              <w:rPr>
                <w:rFonts w:ascii="Verdana" w:eastAsia="Times New Roman" w:hAnsi="Verdana" w:cs="Times New Roman"/>
                <w:b/>
                <w:bCs/>
                <w:color w:val="000000"/>
                <w:sz w:val="22"/>
                <w:szCs w:val="22"/>
              </w:rPr>
            </w:pPr>
            <w:r w:rsidRPr="002634F5">
              <w:rPr>
                <w:rFonts w:ascii="Verdana" w:eastAsia="Times New Roman" w:hAnsi="Verdana" w:cs="Times New Roman"/>
                <w:b/>
                <w:bCs/>
                <w:color w:val="000000"/>
                <w:sz w:val="22"/>
                <w:szCs w:val="22"/>
              </w:rPr>
              <w:t>Year</w:t>
            </w:r>
          </w:p>
        </w:tc>
        <w:tc>
          <w:tcPr>
            <w:tcW w:w="960" w:type="dxa"/>
            <w:tcBorders>
              <w:top w:val="single" w:sz="4" w:space="0" w:color="auto"/>
              <w:left w:val="nil"/>
              <w:bottom w:val="single" w:sz="4" w:space="0" w:color="auto"/>
              <w:right w:val="single" w:sz="4" w:space="0" w:color="auto"/>
            </w:tcBorders>
            <w:noWrap/>
            <w:vAlign w:val="center"/>
            <w:hideMark/>
          </w:tcPr>
          <w:p w14:paraId="27506136" w14:textId="77777777" w:rsidR="002634F5" w:rsidRPr="002634F5" w:rsidRDefault="002634F5" w:rsidP="002634F5">
            <w:pPr>
              <w:spacing w:before="0" w:after="0" w:line="240" w:lineRule="auto"/>
              <w:ind w:left="0" w:right="0"/>
              <w:jc w:val="center"/>
              <w:rPr>
                <w:rFonts w:ascii="Verdana" w:eastAsia="Times New Roman" w:hAnsi="Verdana" w:cs="Times New Roman"/>
                <w:b/>
                <w:bCs/>
                <w:color w:val="000000"/>
                <w:sz w:val="22"/>
                <w:szCs w:val="22"/>
              </w:rPr>
            </w:pPr>
            <w:r w:rsidRPr="002634F5">
              <w:rPr>
                <w:rFonts w:ascii="Verdana" w:eastAsia="Times New Roman" w:hAnsi="Verdana" w:cs="Times New Roman"/>
                <w:b/>
                <w:bCs/>
                <w:color w:val="000000"/>
                <w:sz w:val="22"/>
                <w:szCs w:val="22"/>
              </w:rPr>
              <w:t>Total</w:t>
            </w:r>
          </w:p>
        </w:tc>
      </w:tr>
      <w:tr w:rsidR="002634F5" w:rsidRPr="002634F5" w14:paraId="1BED999F" w14:textId="77777777" w:rsidTr="002634F5">
        <w:trPr>
          <w:trHeight w:val="525"/>
          <w:jc w:val="center"/>
        </w:trPr>
        <w:tc>
          <w:tcPr>
            <w:tcW w:w="920" w:type="dxa"/>
            <w:tcBorders>
              <w:top w:val="nil"/>
              <w:left w:val="single" w:sz="4" w:space="0" w:color="auto"/>
              <w:bottom w:val="single" w:sz="4" w:space="0" w:color="auto"/>
              <w:right w:val="single" w:sz="4" w:space="0" w:color="auto"/>
            </w:tcBorders>
            <w:vAlign w:val="center"/>
            <w:hideMark/>
          </w:tcPr>
          <w:p w14:paraId="20534609" w14:textId="77777777" w:rsidR="002634F5" w:rsidRPr="002634F5" w:rsidRDefault="002634F5" w:rsidP="002634F5">
            <w:pPr>
              <w:spacing w:before="0" w:after="0" w:line="240" w:lineRule="auto"/>
              <w:ind w:left="0" w:right="0"/>
              <w:jc w:val="center"/>
              <w:rPr>
                <w:rFonts w:ascii="Verdana" w:eastAsia="Times New Roman" w:hAnsi="Verdana" w:cs="Times New Roman"/>
                <w:b/>
                <w:bCs/>
                <w:color w:val="000000"/>
              </w:rPr>
            </w:pPr>
            <w:r w:rsidRPr="002634F5">
              <w:rPr>
                <w:rFonts w:ascii="Verdana" w:eastAsia="Times New Roman" w:hAnsi="Verdana" w:cs="Times New Roman"/>
                <w:b/>
                <w:bCs/>
                <w:color w:val="000000"/>
              </w:rPr>
              <w:t>2020</w:t>
            </w:r>
          </w:p>
        </w:tc>
        <w:tc>
          <w:tcPr>
            <w:tcW w:w="960" w:type="dxa"/>
            <w:tcBorders>
              <w:top w:val="nil"/>
              <w:left w:val="nil"/>
              <w:bottom w:val="single" w:sz="4" w:space="0" w:color="auto"/>
              <w:right w:val="single" w:sz="4" w:space="0" w:color="auto"/>
            </w:tcBorders>
            <w:noWrap/>
            <w:vAlign w:val="center"/>
            <w:hideMark/>
          </w:tcPr>
          <w:p w14:paraId="35B28037" w14:textId="0036FD65" w:rsidR="002634F5" w:rsidRPr="002634F5" w:rsidRDefault="008E5CFB" w:rsidP="002634F5">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2634F5" w:rsidRPr="002634F5" w14:paraId="49AAC791" w14:textId="77777777" w:rsidTr="002634F5">
        <w:trPr>
          <w:trHeight w:val="525"/>
          <w:jc w:val="center"/>
        </w:trPr>
        <w:tc>
          <w:tcPr>
            <w:tcW w:w="920" w:type="dxa"/>
            <w:tcBorders>
              <w:top w:val="nil"/>
              <w:left w:val="single" w:sz="4" w:space="0" w:color="auto"/>
              <w:bottom w:val="single" w:sz="4" w:space="0" w:color="auto"/>
              <w:right w:val="single" w:sz="4" w:space="0" w:color="auto"/>
            </w:tcBorders>
            <w:vAlign w:val="center"/>
            <w:hideMark/>
          </w:tcPr>
          <w:p w14:paraId="052B21DC" w14:textId="77777777" w:rsidR="002634F5" w:rsidRPr="002634F5" w:rsidRDefault="002634F5" w:rsidP="002634F5">
            <w:pPr>
              <w:spacing w:before="0" w:after="0" w:line="240" w:lineRule="auto"/>
              <w:ind w:left="0" w:right="0"/>
              <w:jc w:val="center"/>
              <w:rPr>
                <w:rFonts w:ascii="Verdana" w:eastAsia="Times New Roman" w:hAnsi="Verdana" w:cs="Times New Roman"/>
                <w:b/>
                <w:bCs/>
                <w:color w:val="000000"/>
              </w:rPr>
            </w:pPr>
            <w:r w:rsidRPr="002634F5">
              <w:rPr>
                <w:rFonts w:ascii="Verdana" w:eastAsia="Times New Roman" w:hAnsi="Verdana" w:cs="Times New Roman"/>
                <w:b/>
                <w:bCs/>
                <w:color w:val="000000"/>
              </w:rPr>
              <w:t>2021</w:t>
            </w:r>
          </w:p>
        </w:tc>
        <w:tc>
          <w:tcPr>
            <w:tcW w:w="960" w:type="dxa"/>
            <w:tcBorders>
              <w:top w:val="nil"/>
              <w:left w:val="nil"/>
              <w:bottom w:val="single" w:sz="4" w:space="0" w:color="auto"/>
              <w:right w:val="single" w:sz="4" w:space="0" w:color="auto"/>
            </w:tcBorders>
            <w:noWrap/>
            <w:vAlign w:val="center"/>
            <w:hideMark/>
          </w:tcPr>
          <w:p w14:paraId="62BEB821" w14:textId="58A3C589" w:rsidR="002634F5" w:rsidRPr="002634F5" w:rsidRDefault="008E5CFB" w:rsidP="002634F5">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2634F5" w:rsidRPr="002634F5" w14:paraId="336D7F76" w14:textId="77777777" w:rsidTr="002634F5">
        <w:trPr>
          <w:trHeight w:val="525"/>
          <w:jc w:val="center"/>
        </w:trPr>
        <w:tc>
          <w:tcPr>
            <w:tcW w:w="920" w:type="dxa"/>
            <w:tcBorders>
              <w:top w:val="nil"/>
              <w:left w:val="single" w:sz="4" w:space="0" w:color="auto"/>
              <w:bottom w:val="single" w:sz="4" w:space="0" w:color="auto"/>
              <w:right w:val="single" w:sz="4" w:space="0" w:color="auto"/>
            </w:tcBorders>
            <w:vAlign w:val="center"/>
            <w:hideMark/>
          </w:tcPr>
          <w:p w14:paraId="37B6F000" w14:textId="77777777" w:rsidR="002634F5" w:rsidRPr="002634F5" w:rsidRDefault="002634F5" w:rsidP="002634F5">
            <w:pPr>
              <w:spacing w:before="0" w:after="0" w:line="240" w:lineRule="auto"/>
              <w:ind w:left="0" w:right="0"/>
              <w:jc w:val="center"/>
              <w:rPr>
                <w:rFonts w:ascii="Verdana" w:eastAsia="Times New Roman" w:hAnsi="Verdana" w:cs="Times New Roman"/>
                <w:b/>
                <w:bCs/>
                <w:color w:val="000000"/>
              </w:rPr>
            </w:pPr>
            <w:r w:rsidRPr="002634F5">
              <w:rPr>
                <w:rFonts w:ascii="Verdana" w:eastAsia="Times New Roman" w:hAnsi="Verdana" w:cs="Times New Roman"/>
                <w:b/>
                <w:bCs/>
                <w:color w:val="000000"/>
              </w:rPr>
              <w:t>2022</w:t>
            </w:r>
          </w:p>
        </w:tc>
        <w:tc>
          <w:tcPr>
            <w:tcW w:w="960" w:type="dxa"/>
            <w:tcBorders>
              <w:top w:val="nil"/>
              <w:left w:val="nil"/>
              <w:bottom w:val="single" w:sz="4" w:space="0" w:color="auto"/>
              <w:right w:val="single" w:sz="4" w:space="0" w:color="auto"/>
            </w:tcBorders>
            <w:noWrap/>
            <w:vAlign w:val="center"/>
            <w:hideMark/>
          </w:tcPr>
          <w:p w14:paraId="0022002D" w14:textId="1DDDFB4E" w:rsidR="002634F5" w:rsidRPr="002634F5" w:rsidRDefault="008E5CFB" w:rsidP="002634F5">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2634F5" w:rsidRPr="002634F5" w14:paraId="678F38CB" w14:textId="77777777" w:rsidTr="002634F5">
        <w:trPr>
          <w:trHeight w:val="525"/>
          <w:jc w:val="center"/>
        </w:trPr>
        <w:tc>
          <w:tcPr>
            <w:tcW w:w="920" w:type="dxa"/>
            <w:tcBorders>
              <w:top w:val="nil"/>
              <w:left w:val="single" w:sz="4" w:space="0" w:color="auto"/>
              <w:bottom w:val="single" w:sz="4" w:space="0" w:color="auto"/>
              <w:right w:val="single" w:sz="4" w:space="0" w:color="auto"/>
            </w:tcBorders>
            <w:vAlign w:val="center"/>
            <w:hideMark/>
          </w:tcPr>
          <w:p w14:paraId="0ABFA5CB" w14:textId="77777777" w:rsidR="002634F5" w:rsidRPr="002634F5" w:rsidRDefault="002634F5" w:rsidP="002634F5">
            <w:pPr>
              <w:spacing w:before="0" w:after="0" w:line="240" w:lineRule="auto"/>
              <w:ind w:left="0" w:right="0"/>
              <w:jc w:val="center"/>
              <w:rPr>
                <w:rFonts w:ascii="Verdana" w:eastAsia="Times New Roman" w:hAnsi="Verdana" w:cs="Times New Roman"/>
                <w:b/>
                <w:bCs/>
                <w:color w:val="000000"/>
              </w:rPr>
            </w:pPr>
            <w:r w:rsidRPr="002634F5">
              <w:rPr>
                <w:rFonts w:ascii="Verdana" w:eastAsia="Times New Roman" w:hAnsi="Verdana" w:cs="Times New Roman"/>
                <w:b/>
                <w:bCs/>
                <w:color w:val="000000"/>
              </w:rPr>
              <w:t>2023</w:t>
            </w:r>
          </w:p>
        </w:tc>
        <w:tc>
          <w:tcPr>
            <w:tcW w:w="960" w:type="dxa"/>
            <w:tcBorders>
              <w:top w:val="nil"/>
              <w:left w:val="nil"/>
              <w:bottom w:val="single" w:sz="4" w:space="0" w:color="auto"/>
              <w:right w:val="single" w:sz="4" w:space="0" w:color="auto"/>
            </w:tcBorders>
            <w:noWrap/>
            <w:vAlign w:val="center"/>
            <w:hideMark/>
          </w:tcPr>
          <w:p w14:paraId="75480907" w14:textId="67FE9BBA" w:rsidR="002634F5" w:rsidRPr="002634F5" w:rsidRDefault="008E5CFB" w:rsidP="002634F5">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r>
      <w:tr w:rsidR="002634F5" w:rsidRPr="002634F5" w14:paraId="3A8C8CBE" w14:textId="77777777" w:rsidTr="002634F5">
        <w:trPr>
          <w:trHeight w:val="525"/>
          <w:jc w:val="center"/>
        </w:trPr>
        <w:tc>
          <w:tcPr>
            <w:tcW w:w="920" w:type="dxa"/>
            <w:tcBorders>
              <w:top w:val="nil"/>
              <w:left w:val="single" w:sz="4" w:space="0" w:color="auto"/>
              <w:bottom w:val="single" w:sz="4" w:space="0" w:color="auto"/>
              <w:right w:val="single" w:sz="4" w:space="0" w:color="auto"/>
            </w:tcBorders>
            <w:vAlign w:val="center"/>
            <w:hideMark/>
          </w:tcPr>
          <w:p w14:paraId="7C82A945" w14:textId="77777777" w:rsidR="002634F5" w:rsidRPr="002634F5" w:rsidRDefault="002634F5" w:rsidP="002634F5">
            <w:pPr>
              <w:spacing w:before="0" w:after="0" w:line="240" w:lineRule="auto"/>
              <w:ind w:left="0" w:right="0"/>
              <w:jc w:val="center"/>
              <w:rPr>
                <w:rFonts w:ascii="Verdana" w:eastAsia="Times New Roman" w:hAnsi="Verdana" w:cs="Times New Roman"/>
                <w:b/>
                <w:bCs/>
                <w:color w:val="000000"/>
              </w:rPr>
            </w:pPr>
            <w:r w:rsidRPr="002634F5">
              <w:rPr>
                <w:rFonts w:ascii="Verdana" w:eastAsia="Times New Roman" w:hAnsi="Verdana" w:cs="Times New Roman"/>
                <w:b/>
                <w:bCs/>
                <w:color w:val="000000"/>
              </w:rPr>
              <w:t>2024</w:t>
            </w:r>
          </w:p>
        </w:tc>
        <w:tc>
          <w:tcPr>
            <w:tcW w:w="960" w:type="dxa"/>
            <w:tcBorders>
              <w:top w:val="nil"/>
              <w:left w:val="nil"/>
              <w:bottom w:val="single" w:sz="4" w:space="0" w:color="auto"/>
              <w:right w:val="single" w:sz="4" w:space="0" w:color="auto"/>
            </w:tcBorders>
            <w:noWrap/>
            <w:vAlign w:val="center"/>
            <w:hideMark/>
          </w:tcPr>
          <w:p w14:paraId="3BA4C0FD" w14:textId="2DA917D9" w:rsidR="002634F5" w:rsidRPr="002634F5" w:rsidRDefault="008E5CFB" w:rsidP="002634F5">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5</w:t>
            </w:r>
          </w:p>
        </w:tc>
      </w:tr>
      <w:tr w:rsidR="002634F5" w:rsidRPr="002634F5" w14:paraId="64DF66AE" w14:textId="77777777" w:rsidTr="002634F5">
        <w:trPr>
          <w:trHeight w:val="525"/>
          <w:jc w:val="center"/>
        </w:trPr>
        <w:tc>
          <w:tcPr>
            <w:tcW w:w="920" w:type="dxa"/>
            <w:tcBorders>
              <w:top w:val="nil"/>
              <w:left w:val="single" w:sz="4" w:space="0" w:color="auto"/>
              <w:bottom w:val="single" w:sz="4" w:space="0" w:color="auto"/>
              <w:right w:val="single" w:sz="4" w:space="0" w:color="auto"/>
            </w:tcBorders>
            <w:vAlign w:val="center"/>
            <w:hideMark/>
          </w:tcPr>
          <w:p w14:paraId="3D001EE7" w14:textId="77777777" w:rsidR="002634F5" w:rsidRPr="002634F5" w:rsidRDefault="002634F5" w:rsidP="002634F5">
            <w:pPr>
              <w:spacing w:before="0" w:after="0" w:line="240" w:lineRule="auto"/>
              <w:ind w:left="0" w:right="0"/>
              <w:jc w:val="center"/>
              <w:rPr>
                <w:rFonts w:ascii="Verdana" w:eastAsia="Times New Roman" w:hAnsi="Verdana" w:cs="Times New Roman"/>
                <w:b/>
                <w:bCs/>
                <w:color w:val="000000"/>
              </w:rPr>
            </w:pPr>
            <w:r w:rsidRPr="002634F5">
              <w:rPr>
                <w:rFonts w:ascii="Verdana" w:eastAsia="Times New Roman" w:hAnsi="Verdana" w:cs="Times New Roman"/>
                <w:b/>
                <w:bCs/>
                <w:color w:val="000000"/>
              </w:rPr>
              <w:t>2025</w:t>
            </w:r>
          </w:p>
        </w:tc>
        <w:tc>
          <w:tcPr>
            <w:tcW w:w="960" w:type="dxa"/>
            <w:tcBorders>
              <w:top w:val="nil"/>
              <w:left w:val="nil"/>
              <w:bottom w:val="single" w:sz="4" w:space="0" w:color="auto"/>
              <w:right w:val="single" w:sz="4" w:space="0" w:color="auto"/>
            </w:tcBorders>
            <w:noWrap/>
            <w:vAlign w:val="center"/>
            <w:hideMark/>
          </w:tcPr>
          <w:p w14:paraId="48AE6181" w14:textId="77777777" w:rsidR="002634F5" w:rsidRPr="002634F5" w:rsidRDefault="002634F5" w:rsidP="002634F5">
            <w:pPr>
              <w:spacing w:before="0" w:after="0" w:line="240" w:lineRule="auto"/>
              <w:ind w:left="0" w:right="0"/>
              <w:jc w:val="center"/>
              <w:rPr>
                <w:rFonts w:ascii="Verdana" w:eastAsia="Times New Roman" w:hAnsi="Verdana" w:cs="Times New Roman"/>
                <w:color w:val="000000"/>
                <w:sz w:val="22"/>
                <w:szCs w:val="22"/>
              </w:rPr>
            </w:pPr>
            <w:r w:rsidRPr="002634F5">
              <w:rPr>
                <w:rFonts w:ascii="Verdana" w:eastAsia="Times New Roman" w:hAnsi="Verdana" w:cs="Times New Roman"/>
                <w:color w:val="000000"/>
                <w:sz w:val="22"/>
                <w:szCs w:val="22"/>
              </w:rPr>
              <w:t>0</w:t>
            </w:r>
          </w:p>
        </w:tc>
      </w:tr>
    </w:tbl>
    <w:p w14:paraId="3D63FC66" w14:textId="4B049B2D" w:rsidR="00BE6975" w:rsidRDefault="002634F5" w:rsidP="002634F5">
      <w:pPr>
        <w:pStyle w:val="ListParagraph"/>
        <w:ind w:left="865"/>
        <w:rPr>
          <w:rFonts w:ascii="Verdana" w:hAnsi="Verdana"/>
          <w:noProof/>
          <w:sz w:val="22"/>
          <w:szCs w:val="22"/>
        </w:rPr>
      </w:pPr>
      <w:r>
        <w:rPr>
          <w:rFonts w:ascii="Verdana" w:hAnsi="Verdana"/>
          <w:b/>
          <w:bCs/>
          <w:noProof/>
          <w:sz w:val="22"/>
          <w:szCs w:val="22"/>
        </w:rPr>
        <w:br/>
      </w:r>
      <w:r w:rsidR="000F353F" w:rsidRPr="000F353F">
        <w:rPr>
          <w:rFonts w:ascii="Verdana" w:hAnsi="Verdana"/>
          <w:noProof/>
          <w:sz w:val="22"/>
          <w:szCs w:val="22"/>
        </w:rPr>
        <w:t>In addition to this</w:t>
      </w:r>
      <w:r w:rsidR="000F353F">
        <w:rPr>
          <w:rFonts w:ascii="Verdana" w:hAnsi="Verdana"/>
          <w:noProof/>
          <w:sz w:val="22"/>
          <w:szCs w:val="22"/>
        </w:rPr>
        <w:t>,</w:t>
      </w:r>
      <w:r w:rsidR="000F353F" w:rsidRPr="000F353F">
        <w:rPr>
          <w:rFonts w:ascii="Verdana" w:hAnsi="Verdana"/>
          <w:noProof/>
          <w:sz w:val="22"/>
          <w:szCs w:val="22"/>
        </w:rPr>
        <w:t xml:space="preserve"> in 2025 a </w:t>
      </w:r>
      <w:r w:rsidR="00AC0F11">
        <w:rPr>
          <w:rFonts w:ascii="Verdana" w:hAnsi="Verdana"/>
          <w:noProof/>
          <w:sz w:val="22"/>
          <w:szCs w:val="22"/>
        </w:rPr>
        <w:t>Performance</w:t>
      </w:r>
      <w:r w:rsidR="00AC0F11" w:rsidRPr="000F353F">
        <w:rPr>
          <w:rFonts w:ascii="Verdana" w:hAnsi="Verdana"/>
          <w:noProof/>
          <w:sz w:val="22"/>
          <w:szCs w:val="22"/>
        </w:rPr>
        <w:t xml:space="preserve"> </w:t>
      </w:r>
      <w:r w:rsidR="000F353F" w:rsidRPr="000F353F">
        <w:rPr>
          <w:rFonts w:ascii="Verdana" w:hAnsi="Verdana"/>
          <w:noProof/>
          <w:sz w:val="22"/>
          <w:szCs w:val="22"/>
        </w:rPr>
        <w:t>Advisory Group was established within our Mental Health and Learning Disabilities servi</w:t>
      </w:r>
      <w:r w:rsidR="000F353F">
        <w:rPr>
          <w:rFonts w:ascii="Verdana" w:hAnsi="Verdana"/>
          <w:noProof/>
          <w:sz w:val="22"/>
          <w:szCs w:val="22"/>
        </w:rPr>
        <w:t>c</w:t>
      </w:r>
      <w:r w:rsidR="000F353F" w:rsidRPr="000F353F">
        <w:rPr>
          <w:rFonts w:ascii="Verdana" w:hAnsi="Verdana"/>
          <w:noProof/>
          <w:sz w:val="22"/>
          <w:szCs w:val="22"/>
        </w:rPr>
        <w:t>e group.</w:t>
      </w:r>
      <w:r w:rsidR="000F353F">
        <w:rPr>
          <w:rFonts w:ascii="Verdana" w:hAnsi="Verdana"/>
          <w:noProof/>
          <w:sz w:val="22"/>
          <w:szCs w:val="22"/>
        </w:rPr>
        <w:t xml:space="preserve"> Via this mechanism, </w:t>
      </w:r>
      <w:r w:rsidR="005F3A9B">
        <w:rPr>
          <w:rFonts w:ascii="Verdana" w:hAnsi="Verdana"/>
          <w:noProof/>
          <w:sz w:val="22"/>
          <w:szCs w:val="22"/>
        </w:rPr>
        <w:t>on 3 occasions</w:t>
      </w:r>
      <w:r w:rsidR="00EB703A">
        <w:rPr>
          <w:rFonts w:ascii="Verdana" w:hAnsi="Verdana"/>
          <w:noProof/>
          <w:sz w:val="22"/>
          <w:szCs w:val="22"/>
        </w:rPr>
        <w:t xml:space="preserve"> there</w:t>
      </w:r>
      <w:r w:rsidR="005F3A9B">
        <w:rPr>
          <w:rFonts w:ascii="Verdana" w:hAnsi="Verdana"/>
          <w:noProof/>
          <w:sz w:val="22"/>
          <w:szCs w:val="22"/>
        </w:rPr>
        <w:t xml:space="preserve"> were </w:t>
      </w:r>
      <w:r w:rsidR="005F3A9B" w:rsidRPr="005F3A9B">
        <w:rPr>
          <w:rFonts w:ascii="Verdana" w:hAnsi="Verdana"/>
          <w:noProof/>
          <w:sz w:val="22"/>
          <w:szCs w:val="22"/>
        </w:rPr>
        <w:t>concerns about the competence or suitability of locum consultant psychiatrists</w:t>
      </w:r>
      <w:r w:rsidR="005F3A9B">
        <w:rPr>
          <w:rFonts w:ascii="Verdana" w:hAnsi="Verdana"/>
          <w:noProof/>
          <w:sz w:val="22"/>
          <w:szCs w:val="22"/>
        </w:rPr>
        <w:t xml:space="preserve"> discussed in 2025.</w:t>
      </w:r>
    </w:p>
    <w:p w14:paraId="020E59EC" w14:textId="77777777" w:rsidR="00BE6975" w:rsidRDefault="00BE6975" w:rsidP="002634F5">
      <w:pPr>
        <w:pStyle w:val="ListParagraph"/>
        <w:ind w:left="865"/>
        <w:rPr>
          <w:rFonts w:ascii="Verdana" w:hAnsi="Verdana"/>
          <w:noProof/>
          <w:sz w:val="22"/>
          <w:szCs w:val="22"/>
        </w:rPr>
      </w:pPr>
    </w:p>
    <w:p w14:paraId="14AE5ADA" w14:textId="77777777" w:rsidR="00BE6975" w:rsidRPr="00BE6975" w:rsidRDefault="00BE6975" w:rsidP="00BE6975">
      <w:pPr>
        <w:pStyle w:val="ListParagraph"/>
        <w:ind w:left="865"/>
        <w:rPr>
          <w:rFonts w:ascii="Verdana" w:hAnsi="Verdana"/>
          <w:i/>
          <w:iCs/>
          <w:noProof/>
          <w:sz w:val="22"/>
          <w:szCs w:val="22"/>
        </w:rPr>
      </w:pPr>
      <w:r w:rsidRPr="00BE6975">
        <w:rPr>
          <w:rFonts w:ascii="Verdana" w:hAnsi="Verdana"/>
          <w:i/>
          <w:iCs/>
          <w:noProof/>
          <w:sz w:val="22"/>
          <w:szCs w:val="22"/>
        </w:rPr>
        <w:t>Discussion at ROAG or PAG does not necessarily indicate that concerns about competence or suitability were substantiated.</w:t>
      </w:r>
    </w:p>
    <w:p w14:paraId="5F1726B8" w14:textId="6BDC6B54" w:rsidR="001F1E7C" w:rsidRPr="000F353F" w:rsidRDefault="000F353F" w:rsidP="002634F5">
      <w:pPr>
        <w:pStyle w:val="ListParagraph"/>
        <w:ind w:left="865"/>
        <w:rPr>
          <w:rFonts w:ascii="Verdana" w:hAnsi="Verdana"/>
          <w:noProof/>
          <w:sz w:val="22"/>
          <w:szCs w:val="22"/>
        </w:rPr>
      </w:pPr>
      <w:r w:rsidRPr="000F353F">
        <w:rPr>
          <w:rFonts w:ascii="Verdana" w:hAnsi="Verdana"/>
          <w:noProof/>
          <w:sz w:val="22"/>
          <w:szCs w:val="22"/>
        </w:rPr>
        <w:br/>
      </w:r>
    </w:p>
    <w:p w14:paraId="274905A1" w14:textId="05FBA015" w:rsidR="00525B7C" w:rsidRPr="00525B7C" w:rsidRDefault="001F1E7C" w:rsidP="00525B7C">
      <w:pPr>
        <w:pStyle w:val="ListParagraph"/>
        <w:numPr>
          <w:ilvl w:val="0"/>
          <w:numId w:val="23"/>
        </w:numPr>
        <w:rPr>
          <w:rFonts w:ascii="Verdana" w:hAnsi="Verdana"/>
          <w:noProof/>
          <w:sz w:val="22"/>
          <w:szCs w:val="22"/>
        </w:rPr>
      </w:pPr>
      <w:r w:rsidRPr="00525B7C">
        <w:rPr>
          <w:rFonts w:ascii="Verdana" w:hAnsi="Verdana"/>
          <w:b/>
          <w:bCs/>
          <w:noProof/>
          <w:sz w:val="22"/>
          <w:szCs w:val="22"/>
        </w:rPr>
        <w:t>Copies of internal reports, summaries or audit documents discussing risks associated with locum consultant psychiatry appointments in the last five years.</w:t>
      </w:r>
      <w:r w:rsidR="0049162A">
        <w:rPr>
          <w:rFonts w:ascii="Verdana" w:hAnsi="Verdana"/>
          <w:b/>
          <w:bCs/>
          <w:noProof/>
          <w:sz w:val="22"/>
          <w:szCs w:val="22"/>
        </w:rPr>
        <w:br/>
      </w:r>
      <w:r w:rsidR="00525B7C">
        <w:rPr>
          <w:rFonts w:ascii="Verdana" w:hAnsi="Verdana"/>
          <w:noProof/>
          <w:sz w:val="22"/>
          <w:szCs w:val="22"/>
        </w:rPr>
        <w:t xml:space="preserve">- </w:t>
      </w:r>
      <w:r w:rsidR="0049162A" w:rsidRPr="0049162A">
        <w:rPr>
          <w:rFonts w:ascii="Verdana" w:hAnsi="Verdana"/>
          <w:noProof/>
          <w:sz w:val="22"/>
          <w:szCs w:val="22"/>
        </w:rPr>
        <w:t>Please find attached</w:t>
      </w:r>
      <w:r w:rsidR="0049162A">
        <w:rPr>
          <w:rFonts w:ascii="Verdana" w:hAnsi="Verdana"/>
          <w:noProof/>
          <w:sz w:val="22"/>
          <w:szCs w:val="22"/>
        </w:rPr>
        <w:t xml:space="preserve"> </w:t>
      </w:r>
      <w:r w:rsidR="001446CC">
        <w:rPr>
          <w:rFonts w:ascii="Verdana" w:hAnsi="Verdana"/>
          <w:noProof/>
          <w:sz w:val="22"/>
          <w:szCs w:val="22"/>
        </w:rPr>
        <w:t>Appendix 5</w:t>
      </w:r>
      <w:r w:rsidR="0049162A">
        <w:rPr>
          <w:rFonts w:ascii="Verdana" w:hAnsi="Verdana"/>
          <w:noProof/>
          <w:sz w:val="22"/>
          <w:szCs w:val="22"/>
        </w:rPr>
        <w:t xml:space="preserve"> “Medical Workforce Options Paper” from 2022 </w:t>
      </w:r>
      <w:r w:rsidR="0049162A" w:rsidRPr="0049162A">
        <w:rPr>
          <w:rFonts w:ascii="Verdana" w:hAnsi="Verdana"/>
          <w:noProof/>
          <w:sz w:val="22"/>
          <w:szCs w:val="22"/>
        </w:rPr>
        <w:t>outlining concerns around workforce planning and locum consultants</w:t>
      </w:r>
      <w:r w:rsidR="0049162A">
        <w:rPr>
          <w:rFonts w:ascii="Verdana" w:hAnsi="Verdana"/>
          <w:noProof/>
          <w:sz w:val="22"/>
          <w:szCs w:val="22"/>
        </w:rPr>
        <w:t>.</w:t>
      </w:r>
      <w:r w:rsidR="00C65EB4">
        <w:rPr>
          <w:rFonts w:ascii="Verdana" w:hAnsi="Verdana"/>
          <w:noProof/>
          <w:sz w:val="22"/>
          <w:szCs w:val="22"/>
        </w:rPr>
        <w:br/>
      </w:r>
      <w:r w:rsidR="00C65EB4">
        <w:rPr>
          <w:rFonts w:ascii="Verdana" w:hAnsi="Verdana"/>
          <w:noProof/>
          <w:sz w:val="22"/>
          <w:szCs w:val="22"/>
        </w:rPr>
        <w:br/>
      </w:r>
      <w:r w:rsidR="00C65EB4">
        <w:rPr>
          <w:rFonts w:ascii="Verdana" w:hAnsi="Verdana" w:cs="Times New Roman"/>
          <w:sz w:val="22"/>
          <w:szCs w:val="22"/>
        </w:rPr>
        <w:lastRenderedPageBreak/>
        <w:t>Please note, where names have been redacted in the attachment(s), i</w:t>
      </w:r>
      <w:r w:rsidR="00C65EB4" w:rsidRPr="00FC3B42">
        <w:rPr>
          <w:rFonts w:ascii="Verdana" w:hAnsi="Verdana" w:cs="Times New Roman"/>
          <w:sz w:val="22"/>
          <w:szCs w:val="22"/>
        </w:rPr>
        <w:t>t is not our usual practice to disclose the names of staff other than those at Executive/Consultant level</w:t>
      </w:r>
      <w:r w:rsidR="00C65EB4" w:rsidRPr="00EA63AB">
        <w:rPr>
          <w:rFonts w:ascii="Verdana" w:hAnsi="Verdana" w:cs="Times New Roman"/>
          <w:sz w:val="22"/>
          <w:szCs w:val="22"/>
        </w:rPr>
        <w:t xml:space="preserve">.  </w:t>
      </w:r>
      <w:proofErr w:type="gramStart"/>
      <w:r w:rsidR="00C65EB4" w:rsidRPr="00EA63AB">
        <w:rPr>
          <w:rFonts w:ascii="Verdana" w:hAnsi="Verdana" w:cs="Times New Roman"/>
          <w:sz w:val="22"/>
          <w:szCs w:val="22"/>
        </w:rPr>
        <w:t>Therefore</w:t>
      </w:r>
      <w:proofErr w:type="gramEnd"/>
      <w:r w:rsidR="00C65EB4" w:rsidRPr="00EA63AB">
        <w:rPr>
          <w:rFonts w:ascii="Verdana" w:hAnsi="Verdana" w:cs="Times New Roman"/>
          <w:sz w:val="22"/>
          <w:szCs w:val="22"/>
        </w:rPr>
        <w:t xml:space="preserve"> the remaining members of staff named</w:t>
      </w:r>
      <w:r w:rsidR="00C65EB4">
        <w:rPr>
          <w:rFonts w:ascii="Verdana" w:hAnsi="Verdana" w:cs="Times New Roman"/>
          <w:sz w:val="22"/>
          <w:szCs w:val="22"/>
        </w:rPr>
        <w:t xml:space="preserve"> have been</w:t>
      </w:r>
      <w:r w:rsidR="00C65EB4" w:rsidRPr="00FC3B42">
        <w:rPr>
          <w:rFonts w:ascii="Verdana" w:hAnsi="Verdana" w:cs="Times New Roman"/>
          <w:sz w:val="22"/>
          <w:szCs w:val="22"/>
        </w:rPr>
        <w:t xml:space="preserve"> withheld under section 40(2) of the </w:t>
      </w:r>
      <w:smartTag w:uri="urn:schemas-microsoft-com:office:smarttags" w:element="address">
        <w:r w:rsidR="00C65EB4" w:rsidRPr="00FC3B42">
          <w:rPr>
            <w:rFonts w:ascii="Verdana" w:hAnsi="Verdana" w:cs="Times New Roman"/>
            <w:sz w:val="22"/>
            <w:szCs w:val="22"/>
          </w:rPr>
          <w:t>Freedom of Information</w:t>
        </w:r>
      </w:smartTag>
      <w:r w:rsidR="00C65EB4" w:rsidRPr="00FC3B42">
        <w:rPr>
          <w:rFonts w:ascii="Verdana" w:hAnsi="Verdana" w:cs="Times New Roman"/>
          <w:sz w:val="22"/>
          <w:szCs w:val="22"/>
        </w:rPr>
        <w:t xml:space="preserve"> Act 2000.   This </w:t>
      </w:r>
      <w:r w:rsidR="00C65EB4"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proofErr w:type="gramStart"/>
      <w:r w:rsidR="00C65EB4" w:rsidRPr="00FC3B42">
        <w:rPr>
          <w:rFonts w:ascii="Verdana" w:hAnsi="Verdana"/>
          <w:bCs/>
          <w:iCs/>
          <w:sz w:val="22"/>
          <w:szCs w:val="22"/>
        </w:rPr>
        <w:t>in regard to</w:t>
      </w:r>
      <w:proofErr w:type="gramEnd"/>
      <w:r w:rsidR="00C65EB4" w:rsidRPr="00FC3B42">
        <w:rPr>
          <w:rFonts w:ascii="Verdana" w:hAnsi="Verdana"/>
          <w:iCs/>
          <w:sz w:val="22"/>
          <w:szCs w:val="22"/>
        </w:rPr>
        <w:t xml:space="preserve"> Articles 5, 6, and 9 of GDPR</w:t>
      </w:r>
      <w:r w:rsidR="00C65EB4" w:rsidRPr="00FC3B42">
        <w:rPr>
          <w:rFonts w:ascii="Verdana" w:hAnsi="Verdana"/>
          <w:b/>
          <w:bCs/>
          <w:iCs/>
          <w:sz w:val="22"/>
          <w:szCs w:val="22"/>
        </w:rPr>
        <w:t xml:space="preserve">. </w:t>
      </w:r>
      <w:r w:rsidR="00C65EB4"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r w:rsidR="00525B7C">
        <w:rPr>
          <w:rFonts w:ascii="Verdana" w:hAnsi="Verdana"/>
          <w:noProof/>
          <w:sz w:val="22"/>
          <w:szCs w:val="22"/>
        </w:rPr>
        <w:br/>
      </w:r>
      <w:r w:rsidR="00525B7C">
        <w:rPr>
          <w:rFonts w:ascii="Verdana" w:hAnsi="Verdana"/>
          <w:noProof/>
          <w:sz w:val="22"/>
          <w:szCs w:val="22"/>
        </w:rPr>
        <w:br/>
        <w:t xml:space="preserve">- </w:t>
      </w:r>
      <w:r w:rsidR="00525B7C" w:rsidRPr="00525B7C">
        <w:rPr>
          <w:rFonts w:ascii="Verdana" w:hAnsi="Verdana"/>
          <w:noProof/>
          <w:sz w:val="22"/>
          <w:szCs w:val="22"/>
        </w:rPr>
        <w:t xml:space="preserve">In </w:t>
      </w:r>
      <w:r w:rsidR="00525B7C">
        <w:rPr>
          <w:rFonts w:ascii="Verdana" w:hAnsi="Verdana"/>
          <w:noProof/>
          <w:sz w:val="22"/>
          <w:szCs w:val="22"/>
        </w:rPr>
        <w:t>the Health</w:t>
      </w:r>
      <w:r w:rsidR="00525B7C" w:rsidRPr="00525B7C">
        <w:rPr>
          <w:rFonts w:ascii="Verdana" w:hAnsi="Verdana"/>
          <w:noProof/>
          <w:sz w:val="22"/>
          <w:szCs w:val="22"/>
        </w:rPr>
        <w:t xml:space="preserve"> Board’s Corporate Risk Register we have</w:t>
      </w:r>
      <w:r w:rsidR="00525B7C">
        <w:rPr>
          <w:rFonts w:ascii="Verdana" w:hAnsi="Verdana"/>
          <w:noProof/>
          <w:sz w:val="22"/>
          <w:szCs w:val="22"/>
        </w:rPr>
        <w:t xml:space="preserve"> listed</w:t>
      </w:r>
      <w:r w:rsidR="00525B7C" w:rsidRPr="00525B7C">
        <w:rPr>
          <w:rFonts w:ascii="Verdana" w:hAnsi="Verdana"/>
          <w:noProof/>
          <w:sz w:val="22"/>
          <w:szCs w:val="22"/>
        </w:rPr>
        <w:t xml:space="preserve">: </w:t>
      </w:r>
    </w:p>
    <w:p w14:paraId="3769C9FB" w14:textId="77777777" w:rsidR="00525B7C" w:rsidRPr="00525B7C" w:rsidRDefault="00525B7C" w:rsidP="00525B7C">
      <w:pPr>
        <w:pStyle w:val="ListParagraph"/>
        <w:ind w:left="865"/>
        <w:rPr>
          <w:rFonts w:ascii="Verdana" w:hAnsi="Verdana"/>
          <w:i/>
          <w:iCs/>
          <w:noProof/>
          <w:sz w:val="22"/>
          <w:szCs w:val="22"/>
        </w:rPr>
      </w:pPr>
      <w:r w:rsidRPr="00525B7C">
        <w:rPr>
          <w:rFonts w:ascii="Verdana" w:hAnsi="Verdana"/>
          <w:i/>
          <w:iCs/>
          <w:noProof/>
          <w:sz w:val="22"/>
          <w:szCs w:val="22"/>
        </w:rPr>
        <w:t xml:space="preserve">CRR3 Recruitment of consultant medical &amp; dental staff in hard to fill roles. </w:t>
      </w:r>
    </w:p>
    <w:p w14:paraId="15EDB5DF" w14:textId="60A70626" w:rsidR="00783BE3" w:rsidRPr="00783BE3" w:rsidRDefault="00525B7C" w:rsidP="00525B7C">
      <w:pPr>
        <w:pStyle w:val="ListParagraph"/>
        <w:ind w:left="865"/>
        <w:rPr>
          <w:rFonts w:ascii="Verdana" w:hAnsi="Verdana"/>
          <w:b/>
          <w:bCs/>
          <w:noProof/>
          <w:sz w:val="22"/>
          <w:szCs w:val="22"/>
        </w:rPr>
      </w:pPr>
      <w:r w:rsidRPr="00525B7C">
        <w:rPr>
          <w:rFonts w:ascii="Verdana" w:hAnsi="Verdana"/>
          <w:i/>
          <w:iCs/>
          <w:noProof/>
          <w:sz w:val="22"/>
          <w:szCs w:val="22"/>
        </w:rPr>
        <w:t>Due to national shortages, there is a risk that that the health board will be unable to recruit consultant medical &amp; dental staff into particular hard-to-fill roles which may result in difficulties fulfilling rotas on all sites, and adverse impact upon patient safety, service provision, quality and financial matters.</w:t>
      </w:r>
      <w:r w:rsidR="00B970B2">
        <w:rPr>
          <w:rFonts w:ascii="Verdana" w:hAnsi="Verdana"/>
          <w:noProof/>
          <w:sz w:val="22"/>
          <w:szCs w:val="22"/>
        </w:rPr>
        <w:br/>
      </w:r>
      <w:r>
        <w:rPr>
          <w:rFonts w:ascii="Verdana" w:hAnsi="Verdana"/>
          <w:noProof/>
          <w:sz w:val="22"/>
          <w:szCs w:val="22"/>
        </w:rPr>
        <w:t xml:space="preserve"> </w:t>
      </w:r>
      <w:r>
        <w:rPr>
          <w:rFonts w:ascii="Verdana" w:hAnsi="Verdana"/>
          <w:noProof/>
          <w:sz w:val="22"/>
          <w:szCs w:val="22"/>
        </w:rPr>
        <w:br/>
      </w:r>
      <w:r w:rsidRPr="00525B7C">
        <w:rPr>
          <w:rFonts w:ascii="Verdana" w:hAnsi="Verdana"/>
          <w:noProof/>
          <w:sz w:val="22"/>
          <w:szCs w:val="22"/>
        </w:rPr>
        <w:t xml:space="preserve">This risk is not explicit in its description </w:t>
      </w:r>
      <w:r>
        <w:rPr>
          <w:rFonts w:ascii="Verdana" w:hAnsi="Verdana"/>
          <w:noProof/>
          <w:sz w:val="22"/>
          <w:szCs w:val="22"/>
        </w:rPr>
        <w:t>relating to</w:t>
      </w:r>
      <w:r w:rsidRPr="00525B7C">
        <w:rPr>
          <w:rFonts w:ascii="Verdana" w:hAnsi="Verdana"/>
          <w:noProof/>
          <w:sz w:val="22"/>
          <w:szCs w:val="22"/>
        </w:rPr>
        <w:t xml:space="preserve"> locum psychiatrists, but </w:t>
      </w:r>
      <w:r>
        <w:rPr>
          <w:rFonts w:ascii="Verdana" w:hAnsi="Verdana"/>
          <w:noProof/>
          <w:sz w:val="22"/>
          <w:szCs w:val="22"/>
        </w:rPr>
        <w:t>M</w:t>
      </w:r>
      <w:r w:rsidRPr="00525B7C">
        <w:rPr>
          <w:rFonts w:ascii="Verdana" w:hAnsi="Verdana"/>
          <w:noProof/>
          <w:sz w:val="22"/>
          <w:szCs w:val="22"/>
        </w:rPr>
        <w:t xml:space="preserve">ental </w:t>
      </w:r>
      <w:r>
        <w:rPr>
          <w:rFonts w:ascii="Verdana" w:hAnsi="Verdana"/>
          <w:noProof/>
          <w:sz w:val="22"/>
          <w:szCs w:val="22"/>
        </w:rPr>
        <w:t>H</w:t>
      </w:r>
      <w:r w:rsidRPr="00525B7C">
        <w:rPr>
          <w:rFonts w:ascii="Verdana" w:hAnsi="Verdana"/>
          <w:noProof/>
          <w:sz w:val="22"/>
          <w:szCs w:val="22"/>
        </w:rPr>
        <w:t>ealth</w:t>
      </w:r>
      <w:r>
        <w:rPr>
          <w:rFonts w:ascii="Verdana" w:hAnsi="Verdana"/>
          <w:noProof/>
          <w:sz w:val="22"/>
          <w:szCs w:val="22"/>
        </w:rPr>
        <w:t xml:space="preserve"> is identified</w:t>
      </w:r>
      <w:r w:rsidRPr="00525B7C">
        <w:rPr>
          <w:rFonts w:ascii="Verdana" w:hAnsi="Verdana"/>
          <w:noProof/>
          <w:sz w:val="22"/>
          <w:szCs w:val="22"/>
        </w:rPr>
        <w:t xml:space="preserve"> as one of the hard to fill medical areas, </w:t>
      </w:r>
      <w:r>
        <w:rPr>
          <w:rFonts w:ascii="Verdana" w:hAnsi="Verdana"/>
          <w:noProof/>
          <w:sz w:val="22"/>
          <w:szCs w:val="22"/>
        </w:rPr>
        <w:t xml:space="preserve">with “Locum Cover” indicated as a </w:t>
      </w:r>
      <w:r w:rsidRPr="00525B7C">
        <w:rPr>
          <w:rFonts w:ascii="Verdana" w:hAnsi="Verdana"/>
          <w:noProof/>
          <w:sz w:val="22"/>
          <w:szCs w:val="22"/>
        </w:rPr>
        <w:t>Gap</w:t>
      </w:r>
      <w:r>
        <w:rPr>
          <w:rFonts w:ascii="Verdana" w:hAnsi="Verdana"/>
          <w:noProof/>
          <w:sz w:val="22"/>
          <w:szCs w:val="22"/>
        </w:rPr>
        <w:t xml:space="preserve"> </w:t>
      </w:r>
      <w:r w:rsidRPr="00525B7C">
        <w:rPr>
          <w:rFonts w:ascii="Verdana" w:hAnsi="Verdana"/>
          <w:noProof/>
          <w:sz w:val="22"/>
          <w:szCs w:val="22"/>
        </w:rPr>
        <w:t>in Assurance.</w:t>
      </w:r>
      <w:r w:rsidR="00365EEB">
        <w:rPr>
          <w:rFonts w:ascii="Verdana" w:hAnsi="Verdana"/>
          <w:noProof/>
          <w:sz w:val="22"/>
          <w:szCs w:val="22"/>
        </w:rPr>
        <w:t xml:space="preserve"> Please find attached a copy of the Corporate Risk Register</w:t>
      </w:r>
      <w:r w:rsidR="001446CC">
        <w:rPr>
          <w:rFonts w:ascii="Verdana" w:hAnsi="Verdana"/>
          <w:noProof/>
          <w:sz w:val="22"/>
          <w:szCs w:val="22"/>
        </w:rPr>
        <w:t xml:space="preserve"> (Appendix 6)</w:t>
      </w:r>
      <w:r w:rsidR="00365EEB">
        <w:rPr>
          <w:rFonts w:ascii="Verdana" w:hAnsi="Verdana"/>
          <w:noProof/>
          <w:sz w:val="22"/>
          <w:szCs w:val="22"/>
        </w:rPr>
        <w:t>.</w:t>
      </w:r>
      <w:r>
        <w:rPr>
          <w:rFonts w:ascii="Verdana" w:hAnsi="Verdana"/>
          <w:noProof/>
          <w:sz w:val="22"/>
          <w:szCs w:val="22"/>
        </w:rPr>
        <w:br/>
      </w:r>
      <w:r w:rsidR="00B970B2">
        <w:rPr>
          <w:rFonts w:ascii="Verdana" w:hAnsi="Verdana"/>
          <w:noProof/>
          <w:sz w:val="22"/>
          <w:szCs w:val="22"/>
        </w:rPr>
        <w:br/>
      </w:r>
      <w:r>
        <w:rPr>
          <w:rFonts w:ascii="Verdana" w:hAnsi="Verdana"/>
          <w:noProof/>
          <w:sz w:val="22"/>
          <w:szCs w:val="22"/>
        </w:rPr>
        <w:t xml:space="preserve">- </w:t>
      </w:r>
      <w:r w:rsidR="00783BE3">
        <w:rPr>
          <w:rFonts w:ascii="Verdana" w:hAnsi="Verdana"/>
          <w:noProof/>
          <w:sz w:val="22"/>
          <w:szCs w:val="22"/>
        </w:rPr>
        <w:t>I can confirm that SBUHB do hold individual “SBAR” (Situation, Background, Assessment, Recommendation) forms for reporting concerns relating to locum consultant psychiatr</w:t>
      </w:r>
      <w:r w:rsidR="005D5022">
        <w:rPr>
          <w:rFonts w:ascii="Verdana" w:hAnsi="Verdana"/>
          <w:noProof/>
          <w:sz w:val="22"/>
          <w:szCs w:val="22"/>
        </w:rPr>
        <w:t>ists</w:t>
      </w:r>
      <w:r w:rsidR="00783BE3">
        <w:rPr>
          <w:rFonts w:ascii="Verdana" w:hAnsi="Verdana"/>
          <w:noProof/>
          <w:sz w:val="22"/>
          <w:szCs w:val="22"/>
        </w:rPr>
        <w:t xml:space="preserve"> to the ROAG </w:t>
      </w:r>
      <w:r w:rsidR="002634F5">
        <w:rPr>
          <w:rFonts w:ascii="Verdana" w:hAnsi="Verdana"/>
          <w:b/>
          <w:bCs/>
          <w:noProof/>
          <w:sz w:val="22"/>
          <w:szCs w:val="22"/>
        </w:rPr>
        <w:t xml:space="preserve"> </w:t>
      </w:r>
      <w:r w:rsidR="002634F5">
        <w:rPr>
          <w:rFonts w:ascii="Verdana" w:hAnsi="Verdana"/>
          <w:b/>
          <w:bCs/>
          <w:noProof/>
          <w:sz w:val="22"/>
          <w:szCs w:val="22"/>
        </w:rPr>
        <w:br/>
      </w:r>
      <w:r w:rsidR="00783BE3" w:rsidRPr="00783BE3">
        <w:rPr>
          <w:rFonts w:ascii="Verdana" w:hAnsi="Verdana"/>
          <w:b/>
          <w:color w:val="000000"/>
          <w:sz w:val="22"/>
          <w:szCs w:val="22"/>
        </w:rPr>
        <w:br/>
      </w:r>
      <w:r w:rsidR="00783BE3">
        <w:rPr>
          <w:rFonts w:ascii="Verdana" w:hAnsi="Verdana" w:cs="Tahoma"/>
          <w:sz w:val="22"/>
          <w:szCs w:val="22"/>
        </w:rPr>
        <w:t>These forms are</w:t>
      </w:r>
      <w:r w:rsidR="00783BE3" w:rsidRPr="00783BE3">
        <w:rPr>
          <w:rFonts w:ascii="Verdana" w:hAnsi="Verdana" w:cs="Tahoma"/>
          <w:sz w:val="22"/>
          <w:szCs w:val="22"/>
        </w:rPr>
        <w:t xml:space="preserve"> withheld under Section 31(1)(g).  This exemption provides </w:t>
      </w:r>
      <w:r w:rsidR="00783BE3" w:rsidRPr="00783BE3">
        <w:rPr>
          <w:rFonts w:ascii="Verdana" w:hAnsi="Verdana"/>
          <w:sz w:val="22"/>
          <w:szCs w:val="22"/>
        </w:rPr>
        <w:t xml:space="preserve">that information is exempt if its disclosure would, or would be likely to, prejudice functions exercised for </w:t>
      </w:r>
      <w:proofErr w:type="gramStart"/>
      <w:r w:rsidR="00783BE3" w:rsidRPr="00783BE3">
        <w:rPr>
          <w:rFonts w:ascii="Verdana" w:hAnsi="Verdana"/>
          <w:sz w:val="22"/>
          <w:szCs w:val="22"/>
        </w:rPr>
        <w:t>a number of</w:t>
      </w:r>
      <w:proofErr w:type="gramEnd"/>
      <w:r w:rsidR="00783BE3" w:rsidRPr="00783BE3">
        <w:rPr>
          <w:rFonts w:ascii="Verdana" w:hAnsi="Verdana"/>
          <w:sz w:val="22"/>
          <w:szCs w:val="22"/>
        </w:rPr>
        <w:t xml:space="preserve"> specified purposes including:</w:t>
      </w:r>
    </w:p>
    <w:p w14:paraId="5B66E5A1" w14:textId="77777777" w:rsidR="00783BE3" w:rsidRPr="00FC3B42" w:rsidRDefault="00783BE3" w:rsidP="00783BE3">
      <w:pPr>
        <w:pStyle w:val="NoSpacing"/>
        <w:rPr>
          <w:rFonts w:ascii="Verdana" w:hAnsi="Verdana"/>
          <w:sz w:val="22"/>
          <w:szCs w:val="22"/>
        </w:rPr>
      </w:pPr>
    </w:p>
    <w:p w14:paraId="1584457B" w14:textId="77777777" w:rsidR="00783BE3" w:rsidRPr="00FC3B42" w:rsidRDefault="00783BE3" w:rsidP="00783BE3">
      <w:pPr>
        <w:pStyle w:val="NoSpacing"/>
        <w:numPr>
          <w:ilvl w:val="0"/>
          <w:numId w:val="24"/>
        </w:numPr>
        <w:rPr>
          <w:rFonts w:ascii="Verdana" w:hAnsi="Verdana"/>
          <w:sz w:val="22"/>
          <w:szCs w:val="22"/>
        </w:rPr>
      </w:pPr>
      <w:r w:rsidRPr="00FC3B42">
        <w:rPr>
          <w:rFonts w:ascii="Verdana" w:hAnsi="Verdana"/>
          <w:sz w:val="22"/>
          <w:szCs w:val="22"/>
        </w:rPr>
        <w:t>the purpose of ascertaining the cause of an accident</w:t>
      </w:r>
    </w:p>
    <w:p w14:paraId="0E6A3A0E" w14:textId="77777777" w:rsidR="00783BE3" w:rsidRPr="00FC3B42" w:rsidRDefault="00783BE3" w:rsidP="00783BE3">
      <w:pPr>
        <w:pStyle w:val="NoSpacing"/>
        <w:numPr>
          <w:ilvl w:val="0"/>
          <w:numId w:val="24"/>
        </w:numPr>
        <w:rPr>
          <w:rFonts w:ascii="Verdana" w:hAnsi="Verdana"/>
          <w:sz w:val="22"/>
          <w:szCs w:val="22"/>
        </w:rPr>
      </w:pPr>
      <w:r w:rsidRPr="00FC3B42">
        <w:rPr>
          <w:rFonts w:ascii="Verdana" w:hAnsi="Verdana"/>
          <w:sz w:val="22"/>
          <w:szCs w:val="22"/>
        </w:rPr>
        <w:t>the purpose of protecting persons other than persons at work against risk to health or safety arising out of or in connection with the actions of persons at work.</w:t>
      </w:r>
    </w:p>
    <w:p w14:paraId="1C41F1AC" w14:textId="77777777" w:rsidR="00783BE3" w:rsidRPr="00FC3B42" w:rsidRDefault="00783BE3" w:rsidP="00B970B2">
      <w:pPr>
        <w:pStyle w:val="NoSpacing"/>
        <w:ind w:left="720"/>
        <w:rPr>
          <w:rFonts w:ascii="Verdana" w:hAnsi="Verdana"/>
          <w:sz w:val="22"/>
          <w:szCs w:val="22"/>
        </w:rPr>
      </w:pPr>
      <w:r w:rsidRPr="00FC3B42">
        <w:rPr>
          <w:rFonts w:ascii="Verdana" w:eastAsia="Times New Roman" w:hAnsi="Verdana"/>
          <w:sz w:val="22"/>
          <w:szCs w:val="22"/>
          <w:lang w:val="en-US" w:eastAsia="en-US"/>
        </w:rPr>
        <w:br/>
      </w:r>
      <w:r w:rsidRPr="00FC3B42">
        <w:rPr>
          <w:rFonts w:ascii="Verdana" w:hAnsi="Verdana"/>
          <w:sz w:val="22"/>
          <w:szCs w:val="22"/>
        </w:rPr>
        <w:t xml:space="preserve">The Health Board’s management of specific incidents and the conduct of investigations for the purpose of reviewing and improving processes and reducing risk should not be adversely affected by the prospect of disclosure under FOIA. </w:t>
      </w:r>
    </w:p>
    <w:p w14:paraId="28E10B02" w14:textId="77777777" w:rsidR="00783BE3" w:rsidRPr="00FC3B42" w:rsidRDefault="00783BE3" w:rsidP="00B970B2">
      <w:pPr>
        <w:pStyle w:val="NoSpacing"/>
        <w:ind w:left="1225"/>
        <w:rPr>
          <w:rFonts w:ascii="Verdana" w:hAnsi="Verdana"/>
          <w:sz w:val="22"/>
          <w:szCs w:val="22"/>
        </w:rPr>
      </w:pPr>
    </w:p>
    <w:p w14:paraId="5C70160E" w14:textId="77777777" w:rsidR="00783BE3" w:rsidRPr="00FC3B42" w:rsidRDefault="00783BE3" w:rsidP="00B970B2">
      <w:pPr>
        <w:pStyle w:val="NoSpacing"/>
        <w:ind w:left="720"/>
        <w:rPr>
          <w:rFonts w:ascii="Verdana" w:hAnsi="Verdana"/>
          <w:sz w:val="22"/>
          <w:szCs w:val="22"/>
        </w:rPr>
      </w:pPr>
      <w:r w:rsidRPr="00FC3B42">
        <w:rPr>
          <w:rFonts w:ascii="Verdana" w:hAnsi="Verdana"/>
          <w:sz w:val="22"/>
          <w:szCs w:val="22"/>
        </w:rPr>
        <w:t xml:space="preserve">There is a real and significant risk that disclosure in response to FOIA requests would have an adverse impact on the quality of information supplied by staff and that this will prejudice function relating to the monitoring and improvement of healthcare. The effectiveness of incident reporting depends heavily on the willingness of Health Board staff, when reporting incidents, to provide full and open accounts of events. They do so with a reasonable expectation of confidentiality. </w:t>
      </w:r>
      <w:proofErr w:type="gramStart"/>
      <w:r w:rsidRPr="00FC3B42">
        <w:rPr>
          <w:rFonts w:ascii="Verdana" w:hAnsi="Verdana"/>
          <w:sz w:val="22"/>
          <w:szCs w:val="22"/>
        </w:rPr>
        <w:t>Certainly</w:t>
      </w:r>
      <w:proofErr w:type="gramEnd"/>
      <w:r w:rsidRPr="00FC3B42">
        <w:rPr>
          <w:rFonts w:ascii="Verdana" w:hAnsi="Verdana"/>
          <w:sz w:val="22"/>
          <w:szCs w:val="22"/>
        </w:rPr>
        <w:t xml:space="preserve"> they have an expectation that any information they supply when reporting a serious incident will be used only for the purpose of investigating and managing the incident and ensuring that necessary lessons are learnt. </w:t>
      </w:r>
    </w:p>
    <w:p w14:paraId="530AF81E" w14:textId="77777777" w:rsidR="00783BE3" w:rsidRPr="00FC3B42" w:rsidRDefault="00783BE3" w:rsidP="00B970B2">
      <w:pPr>
        <w:pStyle w:val="NoSpacing"/>
        <w:ind w:left="720"/>
        <w:rPr>
          <w:rFonts w:ascii="Verdana" w:hAnsi="Verdana"/>
          <w:sz w:val="22"/>
          <w:szCs w:val="22"/>
        </w:rPr>
      </w:pPr>
    </w:p>
    <w:p w14:paraId="66DD795A" w14:textId="77777777" w:rsidR="00783BE3" w:rsidRPr="00FC3B42" w:rsidRDefault="00783BE3" w:rsidP="00B970B2">
      <w:pPr>
        <w:pStyle w:val="NoSpacing"/>
        <w:ind w:left="720"/>
        <w:rPr>
          <w:rFonts w:ascii="Verdana" w:hAnsi="Verdana"/>
          <w:b/>
          <w:sz w:val="22"/>
          <w:szCs w:val="22"/>
        </w:rPr>
      </w:pPr>
      <w:r w:rsidRPr="00FC3B42">
        <w:rPr>
          <w:rFonts w:ascii="Verdana" w:hAnsi="Verdana"/>
          <w:b/>
          <w:sz w:val="22"/>
          <w:szCs w:val="22"/>
        </w:rPr>
        <w:t>The public interest test</w:t>
      </w:r>
    </w:p>
    <w:p w14:paraId="59856575" w14:textId="77777777" w:rsidR="00783BE3" w:rsidRPr="00FC3B42" w:rsidRDefault="00783BE3" w:rsidP="00B970B2">
      <w:pPr>
        <w:pStyle w:val="NoSpacing"/>
        <w:ind w:left="720"/>
        <w:rPr>
          <w:rFonts w:ascii="Verdana" w:hAnsi="Verdana"/>
          <w:sz w:val="22"/>
          <w:szCs w:val="22"/>
        </w:rPr>
      </w:pPr>
      <w:r w:rsidRPr="00FC3B42">
        <w:rPr>
          <w:rFonts w:ascii="Verdana" w:hAnsi="Verdana"/>
          <w:sz w:val="22"/>
          <w:szCs w:val="22"/>
        </w:rPr>
        <w:t>Section 31 FOIA is a conditional or qualified exemption. This means that, even where it is considered to apply, it may be relied on only if the public interest in applying the exemption outweighs the public interest in disclosure.</w:t>
      </w:r>
    </w:p>
    <w:p w14:paraId="6D922BB1" w14:textId="77777777" w:rsidR="00783BE3" w:rsidRPr="00FC3B42" w:rsidRDefault="00783BE3" w:rsidP="00B970B2">
      <w:pPr>
        <w:pStyle w:val="NoSpacing"/>
        <w:ind w:left="720"/>
        <w:rPr>
          <w:rFonts w:ascii="Verdana" w:hAnsi="Verdana"/>
          <w:sz w:val="22"/>
          <w:szCs w:val="22"/>
        </w:rPr>
      </w:pPr>
    </w:p>
    <w:p w14:paraId="1BA31E9D" w14:textId="71C014F3" w:rsidR="00783BE3" w:rsidRPr="00FC3B42" w:rsidRDefault="00783BE3" w:rsidP="00B970B2">
      <w:pPr>
        <w:pStyle w:val="NoSpacing"/>
        <w:ind w:left="720"/>
        <w:rPr>
          <w:rFonts w:ascii="Verdana" w:hAnsi="Verdana"/>
          <w:sz w:val="22"/>
          <w:szCs w:val="22"/>
        </w:rPr>
      </w:pPr>
      <w:r w:rsidRPr="00FC3B42">
        <w:rPr>
          <w:rFonts w:ascii="Verdana" w:hAnsi="Verdana"/>
          <w:sz w:val="22"/>
          <w:szCs w:val="22"/>
        </w:rPr>
        <w:t xml:space="preserve">The Health Board recognises that there is a significant public interest in knowing about </w:t>
      </w:r>
      <w:r>
        <w:rPr>
          <w:rFonts w:ascii="Verdana" w:hAnsi="Verdana"/>
          <w:sz w:val="22"/>
          <w:szCs w:val="22"/>
        </w:rPr>
        <w:t>the competency of individual staff members within the organisation</w:t>
      </w:r>
      <w:r w:rsidRPr="00FC3B42">
        <w:rPr>
          <w:rFonts w:ascii="Verdana" w:hAnsi="Verdana"/>
          <w:sz w:val="22"/>
          <w:szCs w:val="22"/>
        </w:rPr>
        <w:t xml:space="preserve">. We also appreciate that there is a public interest in openness and transparency generally. However, insofar as the detailed information requested by you is concerned we consider that the public interest in disclosure does not outweigh the public interest in applying the s31 (1) (g) exemption read together with section 31(2) (e) and (j). This is because it is overwhelmingly in the public interest that the systems in place within NHS bodies, such as this Health Board, for the investigation and management of specific </w:t>
      </w:r>
      <w:r>
        <w:rPr>
          <w:rFonts w:ascii="Verdana" w:hAnsi="Verdana"/>
          <w:sz w:val="22"/>
          <w:szCs w:val="22"/>
        </w:rPr>
        <w:t>staff members</w:t>
      </w:r>
      <w:r w:rsidRPr="00FC3B42">
        <w:rPr>
          <w:rFonts w:ascii="Verdana" w:hAnsi="Verdana"/>
          <w:sz w:val="22"/>
          <w:szCs w:val="22"/>
        </w:rPr>
        <w:t xml:space="preserve"> and of risk more generally should be as effective as possible. There is an obvious and very considerable public interest in avoiding adverse impact on the quality of incident reporting where this will prejudice the ability of the Health Board to ensure lessons are learnt, to take corrective action to address risks and improve patient outcomes.</w:t>
      </w:r>
    </w:p>
    <w:p w14:paraId="5BDA2382" w14:textId="77777777" w:rsidR="00783BE3" w:rsidRPr="00FC3B42" w:rsidRDefault="00783BE3" w:rsidP="00B970B2">
      <w:pPr>
        <w:pStyle w:val="NoSpacing"/>
        <w:ind w:left="720"/>
        <w:rPr>
          <w:rFonts w:ascii="Verdana" w:hAnsi="Verdana"/>
          <w:sz w:val="22"/>
          <w:szCs w:val="22"/>
        </w:rPr>
      </w:pPr>
    </w:p>
    <w:p w14:paraId="5A910E16" w14:textId="0A63C361" w:rsidR="00783BE3" w:rsidRPr="00FC3B42" w:rsidRDefault="00783BE3" w:rsidP="00B970B2">
      <w:pPr>
        <w:pStyle w:val="NoSpacing"/>
        <w:ind w:left="720"/>
        <w:rPr>
          <w:rFonts w:ascii="Verdana" w:hAnsi="Verdana"/>
          <w:sz w:val="22"/>
          <w:szCs w:val="22"/>
        </w:rPr>
      </w:pPr>
      <w:r w:rsidRPr="00FC3B42">
        <w:rPr>
          <w:rFonts w:ascii="Verdana" w:hAnsi="Verdana"/>
          <w:sz w:val="22"/>
          <w:szCs w:val="22"/>
        </w:rPr>
        <w:t xml:space="preserve">The Health Board’s conclusion therefore is that there is a real and significant risk that the disclosure of </w:t>
      </w:r>
      <w:r>
        <w:rPr>
          <w:rFonts w:ascii="Verdana" w:hAnsi="Verdana"/>
          <w:sz w:val="22"/>
          <w:szCs w:val="22"/>
        </w:rPr>
        <w:t>concern reports relating to individual staff members</w:t>
      </w:r>
      <w:r w:rsidRPr="00FC3B42">
        <w:rPr>
          <w:rFonts w:ascii="Verdana" w:hAnsi="Verdana"/>
          <w:sz w:val="22"/>
          <w:szCs w:val="22"/>
        </w:rPr>
        <w:t xml:space="preserve"> in response to FOIA requests will have an adverse impact on the quality of information supplied by staff and that this will prejudice functions relating to the monitoring and improvement of healthcare which are exercised by the Health Board for the purposes set out above and provided for by Section 31(1) (g) FOIA read together with section 31(2) (e) and (j).  </w:t>
      </w:r>
    </w:p>
    <w:p w14:paraId="2178A95B" w14:textId="02A3DBE4" w:rsidR="00873328" w:rsidRDefault="00B970B2"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sidR="002634F5">
        <w:rPr>
          <w:rFonts w:ascii="Verdana" w:hAnsi="Verdana"/>
          <w:b/>
          <w:bCs/>
          <w:noProof/>
          <w:sz w:val="22"/>
          <w:szCs w:val="22"/>
        </w:rPr>
        <w:br/>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AF3D02" w14:textId="77777777" w:rsidR="000E2AC4" w:rsidRDefault="000E2AC4" w:rsidP="007D6A3E">
      <w:pPr>
        <w:spacing w:before="0" w:after="0" w:line="240" w:lineRule="auto"/>
      </w:pPr>
      <w:r>
        <w:separator/>
      </w:r>
    </w:p>
  </w:endnote>
  <w:endnote w:type="continuationSeparator" w:id="0">
    <w:p w14:paraId="40C541A0" w14:textId="77777777" w:rsidR="000E2AC4" w:rsidRDefault="000E2AC4"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8E4E16" w14:textId="77777777" w:rsidR="000E2AC4" w:rsidRDefault="000E2AC4" w:rsidP="007D6A3E">
      <w:pPr>
        <w:spacing w:before="0" w:after="0" w:line="240" w:lineRule="auto"/>
      </w:pPr>
      <w:r>
        <w:separator/>
      </w:r>
    </w:p>
  </w:footnote>
  <w:footnote w:type="continuationSeparator" w:id="0">
    <w:p w14:paraId="324BE459" w14:textId="77777777" w:rsidR="000E2AC4" w:rsidRDefault="000E2AC4"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7" type="#_x0000_t75" style="width:20.25pt;height:20.25pt;visibility:visible;mso-wrap-style:square" o:bullet="t">
        <v:imagedata r:id="rId1" o:title=""/>
      </v:shape>
    </w:pict>
  </w:numPicBullet>
  <w:numPicBullet w:numPicBulletId="1">
    <w:pict>
      <v:shape id="_x0000_i1168" type="#_x0000_t75" style="width:382.5pt;height:382.5pt;visibility:visible;mso-wrap-style:square" o:bullet="t">
        <v:imagedata r:id="rId2" o:title=""/>
      </v:shape>
    </w:pict>
  </w:numPicBullet>
  <w:numPicBullet w:numPicBulletId="2">
    <w:pict>
      <v:shape id="_x0000_i1169" type="#_x0000_t75" style="width:225.75pt;height:225.75pt;visibility:visible;mso-wrap-style:square" o:bullet="t">
        <v:imagedata r:id="rId3" o:title=""/>
      </v:shape>
    </w:pict>
  </w:numPicBullet>
  <w:numPicBullet w:numPicBulletId="3">
    <w:pict>
      <v:shape id="_x0000_i1170"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DC84337"/>
    <w:multiLevelType w:val="hybridMultilevel"/>
    <w:tmpl w:val="6914953E"/>
    <w:lvl w:ilvl="0" w:tplc="DE969E3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1BB1F59"/>
    <w:multiLevelType w:val="hybridMultilevel"/>
    <w:tmpl w:val="B5004D06"/>
    <w:lvl w:ilvl="0" w:tplc="DE969E3A">
      <w:start w:val="1"/>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16456C6"/>
    <w:multiLevelType w:val="hybridMultilevel"/>
    <w:tmpl w:val="B2304E24"/>
    <w:lvl w:ilvl="0" w:tplc="48705524">
      <w:start w:val="1"/>
      <w:numFmt w:val="lowerLetter"/>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8A46672"/>
    <w:multiLevelType w:val="hybridMultilevel"/>
    <w:tmpl w:val="99FE1706"/>
    <w:lvl w:ilvl="0" w:tplc="9F2E29D6">
      <w:start w:val="1"/>
      <w:numFmt w:val="lowerLetter"/>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F730136"/>
    <w:multiLevelType w:val="hybridMultilevel"/>
    <w:tmpl w:val="520AA52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9133C47"/>
    <w:multiLevelType w:val="hybridMultilevel"/>
    <w:tmpl w:val="E096944C"/>
    <w:lvl w:ilvl="0" w:tplc="118EC054">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0"/>
  </w:num>
  <w:num w:numId="4" w16cid:durableId="1125923312">
    <w:abstractNumId w:val="20"/>
  </w:num>
  <w:num w:numId="5" w16cid:durableId="1143425367">
    <w:abstractNumId w:val="4"/>
  </w:num>
  <w:num w:numId="6" w16cid:durableId="1293360629">
    <w:abstractNumId w:val="3"/>
  </w:num>
  <w:num w:numId="7" w16cid:durableId="479228409">
    <w:abstractNumId w:val="13"/>
  </w:num>
  <w:num w:numId="8" w16cid:durableId="1553300907">
    <w:abstractNumId w:val="19"/>
  </w:num>
  <w:num w:numId="9" w16cid:durableId="687946864">
    <w:abstractNumId w:val="23"/>
  </w:num>
  <w:num w:numId="10" w16cid:durableId="993416643">
    <w:abstractNumId w:val="1"/>
  </w:num>
  <w:num w:numId="11" w16cid:durableId="1541481371">
    <w:abstractNumId w:val="11"/>
  </w:num>
  <w:num w:numId="12" w16cid:durableId="1525171868">
    <w:abstractNumId w:val="15"/>
  </w:num>
  <w:num w:numId="13" w16cid:durableId="200629463">
    <w:abstractNumId w:val="22"/>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6"/>
  </w:num>
  <w:num w:numId="18" w16cid:durableId="949163570">
    <w:abstractNumId w:val="2"/>
  </w:num>
  <w:num w:numId="19" w16cid:durableId="180433104">
    <w:abstractNumId w:val="18"/>
  </w:num>
  <w:num w:numId="20" w16cid:durableId="2032293332">
    <w:abstractNumId w:val="5"/>
  </w:num>
  <w:num w:numId="21" w16cid:durableId="719091745">
    <w:abstractNumId w:val="17"/>
  </w:num>
  <w:num w:numId="22" w16cid:durableId="2090494366">
    <w:abstractNumId w:val="7"/>
  </w:num>
  <w:num w:numId="23" w16cid:durableId="1993408772">
    <w:abstractNumId w:val="12"/>
  </w:num>
  <w:num w:numId="24" w16cid:durableId="1094024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7AD5"/>
    <w:rsid w:val="00040038"/>
    <w:rsid w:val="00057EE7"/>
    <w:rsid w:val="0007569B"/>
    <w:rsid w:val="00095DF5"/>
    <w:rsid w:val="000A785B"/>
    <w:rsid w:val="000C00ED"/>
    <w:rsid w:val="000C79CC"/>
    <w:rsid w:val="000E2AC4"/>
    <w:rsid w:val="000F353F"/>
    <w:rsid w:val="000F6539"/>
    <w:rsid w:val="00111757"/>
    <w:rsid w:val="001231CE"/>
    <w:rsid w:val="0012438F"/>
    <w:rsid w:val="001276F0"/>
    <w:rsid w:val="001446CC"/>
    <w:rsid w:val="001508FC"/>
    <w:rsid w:val="00165156"/>
    <w:rsid w:val="00185784"/>
    <w:rsid w:val="001B1339"/>
    <w:rsid w:val="001E2D50"/>
    <w:rsid w:val="001F1E7C"/>
    <w:rsid w:val="00213076"/>
    <w:rsid w:val="002156AF"/>
    <w:rsid w:val="002209D7"/>
    <w:rsid w:val="00236F74"/>
    <w:rsid w:val="002507D3"/>
    <w:rsid w:val="00250DF6"/>
    <w:rsid w:val="00257A6E"/>
    <w:rsid w:val="0026120B"/>
    <w:rsid w:val="002634F5"/>
    <w:rsid w:val="002677FD"/>
    <w:rsid w:val="00286642"/>
    <w:rsid w:val="00296FDA"/>
    <w:rsid w:val="002B74C8"/>
    <w:rsid w:val="002C252B"/>
    <w:rsid w:val="002C452C"/>
    <w:rsid w:val="002D32B6"/>
    <w:rsid w:val="002E02A9"/>
    <w:rsid w:val="00304A21"/>
    <w:rsid w:val="00311E1A"/>
    <w:rsid w:val="0032497A"/>
    <w:rsid w:val="0035435D"/>
    <w:rsid w:val="00355B9A"/>
    <w:rsid w:val="003648A8"/>
    <w:rsid w:val="00365EEB"/>
    <w:rsid w:val="0039422D"/>
    <w:rsid w:val="003B01C4"/>
    <w:rsid w:val="003B09B5"/>
    <w:rsid w:val="003F2312"/>
    <w:rsid w:val="004039EB"/>
    <w:rsid w:val="00421E7F"/>
    <w:rsid w:val="00442A3A"/>
    <w:rsid w:val="00453C57"/>
    <w:rsid w:val="0048724F"/>
    <w:rsid w:val="0049162A"/>
    <w:rsid w:val="004C59CA"/>
    <w:rsid w:val="004C7B47"/>
    <w:rsid w:val="004E1954"/>
    <w:rsid w:val="004F001A"/>
    <w:rsid w:val="004F1E5A"/>
    <w:rsid w:val="004F35DC"/>
    <w:rsid w:val="004F4D32"/>
    <w:rsid w:val="005029F2"/>
    <w:rsid w:val="0051249F"/>
    <w:rsid w:val="00525B7C"/>
    <w:rsid w:val="005317D4"/>
    <w:rsid w:val="00534D7A"/>
    <w:rsid w:val="00553E1D"/>
    <w:rsid w:val="005650B7"/>
    <w:rsid w:val="005824B0"/>
    <w:rsid w:val="005878C8"/>
    <w:rsid w:val="0059250D"/>
    <w:rsid w:val="005925B8"/>
    <w:rsid w:val="0059485C"/>
    <w:rsid w:val="005D5022"/>
    <w:rsid w:val="005F0E79"/>
    <w:rsid w:val="005F3A9B"/>
    <w:rsid w:val="00602EE5"/>
    <w:rsid w:val="006137E4"/>
    <w:rsid w:val="00635BDA"/>
    <w:rsid w:val="00644B02"/>
    <w:rsid w:val="006564DF"/>
    <w:rsid w:val="00684641"/>
    <w:rsid w:val="006A57A5"/>
    <w:rsid w:val="006C4048"/>
    <w:rsid w:val="006D5578"/>
    <w:rsid w:val="006F4A69"/>
    <w:rsid w:val="006F5A5D"/>
    <w:rsid w:val="00702886"/>
    <w:rsid w:val="007161C1"/>
    <w:rsid w:val="00730DD2"/>
    <w:rsid w:val="00734492"/>
    <w:rsid w:val="0073651A"/>
    <w:rsid w:val="00771F1B"/>
    <w:rsid w:val="007778CB"/>
    <w:rsid w:val="00783BE3"/>
    <w:rsid w:val="00790973"/>
    <w:rsid w:val="007953A0"/>
    <w:rsid w:val="00795AD1"/>
    <w:rsid w:val="007A5616"/>
    <w:rsid w:val="007B0951"/>
    <w:rsid w:val="007B516B"/>
    <w:rsid w:val="007B6D99"/>
    <w:rsid w:val="007D0444"/>
    <w:rsid w:val="007D06BB"/>
    <w:rsid w:val="007D6A3E"/>
    <w:rsid w:val="007F192C"/>
    <w:rsid w:val="00816437"/>
    <w:rsid w:val="00824D19"/>
    <w:rsid w:val="00841091"/>
    <w:rsid w:val="00846C1D"/>
    <w:rsid w:val="00854A55"/>
    <w:rsid w:val="00873328"/>
    <w:rsid w:val="008941C3"/>
    <w:rsid w:val="0089491A"/>
    <w:rsid w:val="008A2D60"/>
    <w:rsid w:val="008E5CFB"/>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C0F11"/>
    <w:rsid w:val="00AF0E8B"/>
    <w:rsid w:val="00AF691A"/>
    <w:rsid w:val="00B031C2"/>
    <w:rsid w:val="00B34966"/>
    <w:rsid w:val="00B61DE2"/>
    <w:rsid w:val="00B66DD0"/>
    <w:rsid w:val="00B73D24"/>
    <w:rsid w:val="00B82C9E"/>
    <w:rsid w:val="00B8458F"/>
    <w:rsid w:val="00B970B2"/>
    <w:rsid w:val="00BA41C9"/>
    <w:rsid w:val="00BB4931"/>
    <w:rsid w:val="00BC67E1"/>
    <w:rsid w:val="00BE6975"/>
    <w:rsid w:val="00C021A4"/>
    <w:rsid w:val="00C050BE"/>
    <w:rsid w:val="00C21013"/>
    <w:rsid w:val="00C65EB4"/>
    <w:rsid w:val="00C75A00"/>
    <w:rsid w:val="00CA07E3"/>
    <w:rsid w:val="00CB2BBE"/>
    <w:rsid w:val="00CE1516"/>
    <w:rsid w:val="00CE325E"/>
    <w:rsid w:val="00CE3DBC"/>
    <w:rsid w:val="00CF342F"/>
    <w:rsid w:val="00D15865"/>
    <w:rsid w:val="00D62A67"/>
    <w:rsid w:val="00D96308"/>
    <w:rsid w:val="00DB3A99"/>
    <w:rsid w:val="00DC0D5A"/>
    <w:rsid w:val="00DC47F3"/>
    <w:rsid w:val="00DC7FA9"/>
    <w:rsid w:val="00DD5E37"/>
    <w:rsid w:val="00DF2EA1"/>
    <w:rsid w:val="00E11F2D"/>
    <w:rsid w:val="00E26720"/>
    <w:rsid w:val="00E336C3"/>
    <w:rsid w:val="00E545D8"/>
    <w:rsid w:val="00E5679A"/>
    <w:rsid w:val="00E6310F"/>
    <w:rsid w:val="00E7768A"/>
    <w:rsid w:val="00E817B3"/>
    <w:rsid w:val="00E90BC7"/>
    <w:rsid w:val="00EA63AB"/>
    <w:rsid w:val="00EB703A"/>
    <w:rsid w:val="00EE0615"/>
    <w:rsid w:val="00F26B29"/>
    <w:rsid w:val="00F32BF3"/>
    <w:rsid w:val="00F836B3"/>
    <w:rsid w:val="00F91A7E"/>
    <w:rsid w:val="00F96598"/>
    <w:rsid w:val="00FA0C91"/>
    <w:rsid w:val="00FA177F"/>
    <w:rsid w:val="00FB114B"/>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5121"/>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CF342F"/>
    <w:rPr>
      <w:color w:val="605E5C"/>
      <w:shd w:val="clear" w:color="auto" w:fill="E1DFDD"/>
    </w:rPr>
  </w:style>
  <w:style w:type="paragraph" w:styleId="Revision">
    <w:name w:val="Revision"/>
    <w:hidden/>
    <w:uiPriority w:val="99"/>
    <w:semiHidden/>
    <w:rsid w:val="00EB703A"/>
    <w:rPr>
      <w:sz w:val="24"/>
      <w:szCs w:val="24"/>
    </w:rPr>
  </w:style>
  <w:style w:type="character" w:styleId="CommentReference">
    <w:name w:val="annotation reference"/>
    <w:basedOn w:val="DefaultParagraphFont"/>
    <w:uiPriority w:val="99"/>
    <w:semiHidden/>
    <w:unhideWhenUsed/>
    <w:rsid w:val="00EB703A"/>
    <w:rPr>
      <w:sz w:val="16"/>
      <w:szCs w:val="16"/>
    </w:rPr>
  </w:style>
  <w:style w:type="paragraph" w:styleId="CommentText">
    <w:name w:val="annotation text"/>
    <w:basedOn w:val="Normal"/>
    <w:link w:val="CommentTextChar"/>
    <w:uiPriority w:val="99"/>
    <w:unhideWhenUsed/>
    <w:rsid w:val="00EB703A"/>
    <w:pPr>
      <w:spacing w:line="240" w:lineRule="auto"/>
    </w:pPr>
    <w:rPr>
      <w:sz w:val="20"/>
      <w:szCs w:val="20"/>
    </w:rPr>
  </w:style>
  <w:style w:type="character" w:customStyle="1" w:styleId="CommentTextChar">
    <w:name w:val="Comment Text Char"/>
    <w:basedOn w:val="DefaultParagraphFont"/>
    <w:link w:val="CommentText"/>
    <w:uiPriority w:val="99"/>
    <w:rsid w:val="00EB703A"/>
  </w:style>
  <w:style w:type="paragraph" w:styleId="CommentSubject">
    <w:name w:val="annotation subject"/>
    <w:basedOn w:val="CommentText"/>
    <w:next w:val="CommentText"/>
    <w:link w:val="CommentSubjectChar"/>
    <w:uiPriority w:val="99"/>
    <w:semiHidden/>
    <w:unhideWhenUsed/>
    <w:rsid w:val="00EB703A"/>
    <w:rPr>
      <w:b/>
      <w:bCs/>
    </w:rPr>
  </w:style>
  <w:style w:type="character" w:customStyle="1" w:styleId="CommentSubjectChar">
    <w:name w:val="Comment Subject Char"/>
    <w:basedOn w:val="CommentTextChar"/>
    <w:link w:val="CommentSubject"/>
    <w:uiPriority w:val="99"/>
    <w:semiHidden/>
    <w:rsid w:val="00EB703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wales/hpb/nhs-pay-and-condition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TotalTime>
  <Pages>4</Pages>
  <Words>1206</Words>
  <Characters>6524</Characters>
  <Application>Microsoft Office Word</Application>
  <DocSecurity>0</DocSecurity>
  <Lines>171</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cp:revision>
  <cp:lastPrinted>2026-01-20T11:40:00Z</cp:lastPrinted>
  <dcterms:created xsi:type="dcterms:W3CDTF">2026-01-12T15:16:00Z</dcterms:created>
  <dcterms:modified xsi:type="dcterms:W3CDTF">2026-01-20T11:41:00Z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1dcd040c-e857-4b40-8d95-d4a168ddcd88</vt:lpwstr>
  </property>
</Properties>
</file>