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465A36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F6D23">
                              <w:rPr>
                                <w:rFonts w:ascii="Verdana" w:hAnsi="Verdana"/>
                                <w:b/>
                                <w:sz w:val="22"/>
                                <w:szCs w:val="22"/>
                              </w:rPr>
                              <w:t>25-B-019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465A36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F6D23">
                        <w:rPr>
                          <w:rFonts w:ascii="Verdana" w:hAnsi="Verdana"/>
                          <w:b/>
                          <w:sz w:val="22"/>
                          <w:szCs w:val="22"/>
                        </w:rPr>
                        <w:t>25-B-019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A3B3FB3" w:rsidR="00DC0D5A" w:rsidRDefault="00A10460" w:rsidP="00DC0D5A">
      <w:pPr>
        <w:spacing w:before="280"/>
        <w:rPr>
          <w:rFonts w:ascii="Verdana" w:hAnsi="Verdana"/>
          <w:b/>
          <w:sz w:val="22"/>
        </w:rPr>
      </w:pPr>
      <w:r w:rsidRPr="00A10460">
        <w:rPr>
          <w:rFonts w:ascii="Verdana" w:hAnsi="Verdana"/>
          <w:b/>
          <w:sz w:val="22"/>
        </w:rPr>
        <w:t>You asked:</w:t>
      </w:r>
    </w:p>
    <w:p w14:paraId="39980BF5" w14:textId="2796387E" w:rsidR="008F6D23" w:rsidRDefault="008F6D23" w:rsidP="008F6D23">
      <w:pPr>
        <w:spacing w:after="0"/>
        <w:rPr>
          <w:rFonts w:ascii="Verdana" w:hAnsi="Verdana"/>
          <w:b/>
          <w:bCs/>
          <w:sz w:val="22"/>
          <w:szCs w:val="22"/>
          <w:lang w:val="en-US"/>
        </w:rPr>
      </w:pPr>
      <w:r w:rsidRPr="008F6D23">
        <w:rPr>
          <w:rFonts w:ascii="Verdana" w:hAnsi="Verdana"/>
          <w:b/>
          <w:bCs/>
          <w:sz w:val="22"/>
          <w:szCs w:val="22"/>
          <w:lang w:val="en-US"/>
        </w:rPr>
        <w:t xml:space="preserve">Q1. How many Non-small cell lung cancer (NSCLC) patients were treated in the past 3 months </w:t>
      </w:r>
      <w:r>
        <w:rPr>
          <w:rFonts w:ascii="Verdana" w:hAnsi="Verdana"/>
          <w:b/>
          <w:bCs/>
          <w:sz w:val="22"/>
          <w:szCs w:val="22"/>
          <w:lang w:val="en-US"/>
        </w:rPr>
        <w:t xml:space="preserve">(November 2024 – January 2025) </w:t>
      </w:r>
      <w:r w:rsidRPr="008F6D23">
        <w:rPr>
          <w:rFonts w:ascii="Verdana" w:hAnsi="Verdana"/>
          <w:b/>
          <w:bCs/>
          <w:sz w:val="22"/>
          <w:szCs w:val="22"/>
          <w:lang w:val="en-US"/>
        </w:rPr>
        <w:t xml:space="preserve">with: </w:t>
      </w:r>
    </w:p>
    <w:p w14:paraId="4902120B" w14:textId="77777777" w:rsidR="00FB124F" w:rsidRPr="008F6D23" w:rsidRDefault="00FB124F" w:rsidP="008F6D23">
      <w:pPr>
        <w:spacing w:after="0"/>
        <w:rPr>
          <w:rFonts w:ascii="Verdana" w:hAnsi="Verdana"/>
          <w:b/>
          <w:bCs/>
          <w:sz w:val="22"/>
          <w:szCs w:val="22"/>
          <w:lang w:val="en-IN"/>
        </w:rPr>
      </w:pPr>
    </w:p>
    <w:tbl>
      <w:tblPr>
        <w:tblW w:w="10769" w:type="dxa"/>
        <w:tblLook w:val="04A0" w:firstRow="1" w:lastRow="0" w:firstColumn="1" w:lastColumn="0" w:noHBand="0" w:noVBand="1"/>
      </w:tblPr>
      <w:tblGrid>
        <w:gridCol w:w="8877"/>
        <w:gridCol w:w="972"/>
        <w:gridCol w:w="920"/>
      </w:tblGrid>
      <w:tr w:rsidR="00FB124F" w:rsidRPr="00FB124F" w14:paraId="3D54C9B9" w14:textId="77777777" w:rsidTr="00FB124F">
        <w:trPr>
          <w:trHeight w:val="300"/>
        </w:trPr>
        <w:tc>
          <w:tcPr>
            <w:tcW w:w="8877" w:type="dxa"/>
            <w:tcBorders>
              <w:top w:val="nil"/>
              <w:left w:val="nil"/>
              <w:bottom w:val="nil"/>
              <w:right w:val="nil"/>
            </w:tcBorders>
            <w:shd w:val="clear" w:color="auto" w:fill="auto"/>
            <w:noWrap/>
            <w:vAlign w:val="center"/>
            <w:hideMark/>
          </w:tcPr>
          <w:p w14:paraId="414D163B"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ALK Inhibitors (Alectinib, Brigatinib, Ceritinib, Crizotinib, Lorlatinib)</w:t>
            </w:r>
          </w:p>
        </w:tc>
        <w:tc>
          <w:tcPr>
            <w:tcW w:w="972" w:type="dxa"/>
            <w:tcBorders>
              <w:top w:val="nil"/>
              <w:left w:val="nil"/>
              <w:bottom w:val="nil"/>
              <w:right w:val="nil"/>
            </w:tcBorders>
            <w:shd w:val="clear" w:color="auto" w:fill="auto"/>
            <w:noWrap/>
            <w:vAlign w:val="bottom"/>
            <w:hideMark/>
          </w:tcPr>
          <w:p w14:paraId="455AAA8D"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424DCA40"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2D59BC5A" w14:textId="77777777" w:rsidTr="00FB124F">
        <w:trPr>
          <w:trHeight w:val="300"/>
        </w:trPr>
        <w:tc>
          <w:tcPr>
            <w:tcW w:w="8877" w:type="dxa"/>
            <w:tcBorders>
              <w:top w:val="nil"/>
              <w:left w:val="nil"/>
              <w:bottom w:val="nil"/>
              <w:right w:val="nil"/>
            </w:tcBorders>
            <w:shd w:val="clear" w:color="auto" w:fill="auto"/>
            <w:noWrap/>
            <w:vAlign w:val="center"/>
            <w:hideMark/>
          </w:tcPr>
          <w:p w14:paraId="78CB9B31"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Amivantamab</w:t>
            </w:r>
          </w:p>
        </w:tc>
        <w:tc>
          <w:tcPr>
            <w:tcW w:w="972" w:type="dxa"/>
            <w:tcBorders>
              <w:top w:val="nil"/>
              <w:left w:val="nil"/>
              <w:bottom w:val="nil"/>
              <w:right w:val="nil"/>
            </w:tcBorders>
            <w:shd w:val="clear" w:color="auto" w:fill="auto"/>
            <w:noWrap/>
            <w:vAlign w:val="bottom"/>
            <w:hideMark/>
          </w:tcPr>
          <w:p w14:paraId="360D909A"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417129B4"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5921B93C" w14:textId="77777777" w:rsidTr="00FB124F">
        <w:trPr>
          <w:trHeight w:val="300"/>
        </w:trPr>
        <w:tc>
          <w:tcPr>
            <w:tcW w:w="8877" w:type="dxa"/>
            <w:tcBorders>
              <w:top w:val="nil"/>
              <w:left w:val="nil"/>
              <w:bottom w:val="nil"/>
              <w:right w:val="nil"/>
            </w:tcBorders>
            <w:shd w:val="clear" w:color="auto" w:fill="auto"/>
            <w:noWrap/>
            <w:vAlign w:val="center"/>
            <w:hideMark/>
          </w:tcPr>
          <w:p w14:paraId="669B99FE"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Atezolizumab monotherapy</w:t>
            </w:r>
          </w:p>
        </w:tc>
        <w:tc>
          <w:tcPr>
            <w:tcW w:w="972" w:type="dxa"/>
            <w:tcBorders>
              <w:top w:val="nil"/>
              <w:left w:val="nil"/>
              <w:bottom w:val="nil"/>
              <w:right w:val="nil"/>
            </w:tcBorders>
            <w:shd w:val="clear" w:color="auto" w:fill="auto"/>
            <w:noWrap/>
            <w:vAlign w:val="bottom"/>
            <w:hideMark/>
          </w:tcPr>
          <w:p w14:paraId="7A6F822E"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22E227E8"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1B057FA7" w14:textId="77777777" w:rsidTr="00FB124F">
        <w:trPr>
          <w:trHeight w:val="300"/>
        </w:trPr>
        <w:tc>
          <w:tcPr>
            <w:tcW w:w="8877" w:type="dxa"/>
            <w:tcBorders>
              <w:top w:val="nil"/>
              <w:left w:val="nil"/>
              <w:bottom w:val="nil"/>
              <w:right w:val="nil"/>
            </w:tcBorders>
            <w:shd w:val="clear" w:color="auto" w:fill="auto"/>
            <w:noWrap/>
            <w:vAlign w:val="center"/>
            <w:hideMark/>
          </w:tcPr>
          <w:p w14:paraId="7DCC1759"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Atezolizumab + Bevacizumab + Carboplatin + Paclitaxel</w:t>
            </w:r>
          </w:p>
        </w:tc>
        <w:tc>
          <w:tcPr>
            <w:tcW w:w="972" w:type="dxa"/>
            <w:tcBorders>
              <w:top w:val="nil"/>
              <w:left w:val="nil"/>
              <w:bottom w:val="nil"/>
              <w:right w:val="nil"/>
            </w:tcBorders>
            <w:shd w:val="clear" w:color="auto" w:fill="auto"/>
            <w:noWrap/>
            <w:vAlign w:val="bottom"/>
            <w:hideMark/>
          </w:tcPr>
          <w:p w14:paraId="19A8A865"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7650F64B"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463B5EB0" w14:textId="77777777" w:rsidTr="00FB124F">
        <w:trPr>
          <w:trHeight w:val="300"/>
        </w:trPr>
        <w:tc>
          <w:tcPr>
            <w:tcW w:w="8877" w:type="dxa"/>
            <w:tcBorders>
              <w:top w:val="nil"/>
              <w:left w:val="nil"/>
              <w:bottom w:val="nil"/>
              <w:right w:val="nil"/>
            </w:tcBorders>
            <w:shd w:val="clear" w:color="auto" w:fill="auto"/>
            <w:noWrap/>
            <w:vAlign w:val="center"/>
            <w:hideMark/>
          </w:tcPr>
          <w:p w14:paraId="3CFEEC6E"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Atezolizumab subcutaneous</w:t>
            </w:r>
          </w:p>
        </w:tc>
        <w:tc>
          <w:tcPr>
            <w:tcW w:w="972" w:type="dxa"/>
            <w:tcBorders>
              <w:top w:val="nil"/>
              <w:left w:val="nil"/>
              <w:bottom w:val="nil"/>
              <w:right w:val="nil"/>
            </w:tcBorders>
            <w:shd w:val="clear" w:color="auto" w:fill="auto"/>
            <w:noWrap/>
            <w:vAlign w:val="bottom"/>
            <w:hideMark/>
          </w:tcPr>
          <w:p w14:paraId="1AC10BBC"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7AEBE19E"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511A487F" w14:textId="77777777" w:rsidTr="00FB124F">
        <w:trPr>
          <w:trHeight w:val="300"/>
        </w:trPr>
        <w:tc>
          <w:tcPr>
            <w:tcW w:w="8877" w:type="dxa"/>
            <w:tcBorders>
              <w:top w:val="nil"/>
              <w:left w:val="nil"/>
              <w:bottom w:val="nil"/>
              <w:right w:val="nil"/>
            </w:tcBorders>
            <w:shd w:val="clear" w:color="auto" w:fill="auto"/>
            <w:noWrap/>
            <w:vAlign w:val="center"/>
            <w:hideMark/>
          </w:tcPr>
          <w:p w14:paraId="6EAC5C2D"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Dabrafenib with Trametinib</w:t>
            </w:r>
          </w:p>
        </w:tc>
        <w:tc>
          <w:tcPr>
            <w:tcW w:w="972" w:type="dxa"/>
            <w:tcBorders>
              <w:top w:val="nil"/>
              <w:left w:val="nil"/>
              <w:bottom w:val="nil"/>
              <w:right w:val="nil"/>
            </w:tcBorders>
            <w:shd w:val="clear" w:color="auto" w:fill="auto"/>
            <w:noWrap/>
            <w:vAlign w:val="bottom"/>
            <w:hideMark/>
          </w:tcPr>
          <w:p w14:paraId="65592D2C"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2926D085"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5FFE8B4F" w14:textId="77777777" w:rsidTr="00FB124F">
        <w:trPr>
          <w:trHeight w:val="300"/>
        </w:trPr>
        <w:tc>
          <w:tcPr>
            <w:tcW w:w="8877" w:type="dxa"/>
            <w:tcBorders>
              <w:top w:val="nil"/>
              <w:left w:val="nil"/>
              <w:bottom w:val="nil"/>
              <w:right w:val="nil"/>
            </w:tcBorders>
            <w:shd w:val="clear" w:color="auto" w:fill="auto"/>
            <w:noWrap/>
            <w:vAlign w:val="center"/>
            <w:hideMark/>
          </w:tcPr>
          <w:p w14:paraId="785C033B"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Docetaxel monotherapy or in combination with Carboplatin/Cisplatin</w:t>
            </w:r>
          </w:p>
        </w:tc>
        <w:tc>
          <w:tcPr>
            <w:tcW w:w="972" w:type="dxa"/>
            <w:tcBorders>
              <w:top w:val="nil"/>
              <w:left w:val="nil"/>
              <w:bottom w:val="nil"/>
              <w:right w:val="nil"/>
            </w:tcBorders>
            <w:shd w:val="clear" w:color="auto" w:fill="auto"/>
            <w:noWrap/>
            <w:vAlign w:val="bottom"/>
            <w:hideMark/>
          </w:tcPr>
          <w:p w14:paraId="7CF4D921"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583ABA01"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4AAF3134" w14:textId="77777777" w:rsidTr="00FB124F">
        <w:trPr>
          <w:trHeight w:val="300"/>
        </w:trPr>
        <w:tc>
          <w:tcPr>
            <w:tcW w:w="8877" w:type="dxa"/>
            <w:tcBorders>
              <w:top w:val="nil"/>
              <w:left w:val="nil"/>
              <w:bottom w:val="nil"/>
              <w:right w:val="nil"/>
            </w:tcBorders>
            <w:shd w:val="clear" w:color="auto" w:fill="auto"/>
            <w:noWrap/>
            <w:vAlign w:val="center"/>
            <w:hideMark/>
          </w:tcPr>
          <w:p w14:paraId="43333276"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 xml:space="preserve">Durvalumab </w:t>
            </w:r>
          </w:p>
        </w:tc>
        <w:tc>
          <w:tcPr>
            <w:tcW w:w="972" w:type="dxa"/>
            <w:tcBorders>
              <w:top w:val="nil"/>
              <w:left w:val="nil"/>
              <w:bottom w:val="nil"/>
              <w:right w:val="nil"/>
            </w:tcBorders>
            <w:shd w:val="clear" w:color="auto" w:fill="auto"/>
            <w:noWrap/>
            <w:vAlign w:val="bottom"/>
            <w:hideMark/>
          </w:tcPr>
          <w:p w14:paraId="1E23ADC3"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59CDE3F6"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773201B9" w14:textId="77777777" w:rsidTr="00FB124F">
        <w:trPr>
          <w:trHeight w:val="300"/>
        </w:trPr>
        <w:tc>
          <w:tcPr>
            <w:tcW w:w="8877" w:type="dxa"/>
            <w:tcBorders>
              <w:top w:val="nil"/>
              <w:left w:val="nil"/>
              <w:bottom w:val="nil"/>
              <w:right w:val="nil"/>
            </w:tcBorders>
            <w:shd w:val="clear" w:color="auto" w:fill="auto"/>
            <w:noWrap/>
            <w:vAlign w:val="bottom"/>
            <w:hideMark/>
          </w:tcPr>
          <w:p w14:paraId="3DFF73C1" w14:textId="77777777" w:rsidR="00FB124F" w:rsidRPr="00FB124F" w:rsidRDefault="00FB124F" w:rsidP="00FB124F">
            <w:pPr>
              <w:spacing w:before="0" w:after="0" w:line="240" w:lineRule="auto"/>
              <w:ind w:left="0" w:right="0"/>
              <w:rPr>
                <w:rFonts w:ascii="Verdana" w:eastAsia="Times New Roman" w:hAnsi="Verdana" w:cs="Calibri"/>
                <w:b/>
                <w:bCs/>
                <w:sz w:val="22"/>
                <w:szCs w:val="22"/>
              </w:rPr>
            </w:pPr>
            <w:r w:rsidRPr="00FB124F">
              <w:rPr>
                <w:rFonts w:ascii="Verdana" w:eastAsia="Times New Roman" w:hAnsi="Verdana" w:cs="Calibri"/>
                <w:b/>
                <w:bCs/>
                <w:sz w:val="22"/>
                <w:szCs w:val="22"/>
              </w:rPr>
              <w:t>Gemcitabine</w:t>
            </w:r>
          </w:p>
        </w:tc>
        <w:tc>
          <w:tcPr>
            <w:tcW w:w="972" w:type="dxa"/>
            <w:tcBorders>
              <w:top w:val="nil"/>
              <w:left w:val="nil"/>
              <w:bottom w:val="nil"/>
              <w:right w:val="nil"/>
            </w:tcBorders>
            <w:shd w:val="clear" w:color="auto" w:fill="auto"/>
            <w:noWrap/>
            <w:vAlign w:val="bottom"/>
            <w:hideMark/>
          </w:tcPr>
          <w:p w14:paraId="0C08811E" w14:textId="77777777" w:rsidR="00FB124F" w:rsidRPr="00FB124F" w:rsidRDefault="00FB124F" w:rsidP="00FB124F">
            <w:pPr>
              <w:spacing w:before="0" w:after="0" w:line="240" w:lineRule="auto"/>
              <w:ind w:left="0" w:right="0"/>
              <w:rPr>
                <w:rFonts w:ascii="Verdana" w:eastAsia="Times New Roman" w:hAnsi="Verdana" w:cs="Calibri"/>
                <w:b/>
                <w:bCs/>
                <w:sz w:val="22"/>
                <w:szCs w:val="22"/>
              </w:rPr>
            </w:pPr>
          </w:p>
        </w:tc>
        <w:tc>
          <w:tcPr>
            <w:tcW w:w="920" w:type="dxa"/>
            <w:tcBorders>
              <w:top w:val="nil"/>
              <w:left w:val="nil"/>
              <w:bottom w:val="nil"/>
              <w:right w:val="nil"/>
            </w:tcBorders>
            <w:shd w:val="clear" w:color="auto" w:fill="auto"/>
            <w:noWrap/>
            <w:vAlign w:val="bottom"/>
            <w:hideMark/>
          </w:tcPr>
          <w:p w14:paraId="3D4E12BF"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5BB14773" w14:textId="77777777" w:rsidTr="00FB124F">
        <w:trPr>
          <w:trHeight w:val="300"/>
        </w:trPr>
        <w:tc>
          <w:tcPr>
            <w:tcW w:w="8877" w:type="dxa"/>
            <w:tcBorders>
              <w:top w:val="nil"/>
              <w:left w:val="nil"/>
              <w:bottom w:val="nil"/>
              <w:right w:val="nil"/>
            </w:tcBorders>
            <w:shd w:val="clear" w:color="auto" w:fill="auto"/>
            <w:noWrap/>
            <w:vAlign w:val="bottom"/>
            <w:hideMark/>
          </w:tcPr>
          <w:p w14:paraId="54791C54"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roofErr w:type="spellStart"/>
            <w:r w:rsidRPr="00FB124F">
              <w:rPr>
                <w:rFonts w:ascii="Verdana" w:eastAsia="Times New Roman" w:hAnsi="Verdana" w:cs="Calibri"/>
                <w:b/>
                <w:bCs/>
                <w:color w:val="000000"/>
                <w:sz w:val="22"/>
                <w:szCs w:val="22"/>
              </w:rPr>
              <w:t>Nintedanib</w:t>
            </w:r>
            <w:proofErr w:type="spellEnd"/>
            <w:r w:rsidRPr="00FB124F">
              <w:rPr>
                <w:rFonts w:ascii="Verdana" w:eastAsia="Times New Roman" w:hAnsi="Verdana" w:cs="Calibri"/>
                <w:b/>
                <w:bCs/>
                <w:color w:val="000000"/>
                <w:sz w:val="22"/>
                <w:szCs w:val="22"/>
              </w:rPr>
              <w:t xml:space="preserve"> with Docetaxel</w:t>
            </w:r>
          </w:p>
        </w:tc>
        <w:tc>
          <w:tcPr>
            <w:tcW w:w="972" w:type="dxa"/>
            <w:tcBorders>
              <w:top w:val="nil"/>
              <w:left w:val="nil"/>
              <w:bottom w:val="nil"/>
              <w:right w:val="nil"/>
            </w:tcBorders>
            <w:shd w:val="clear" w:color="auto" w:fill="auto"/>
            <w:noWrap/>
            <w:vAlign w:val="bottom"/>
            <w:hideMark/>
          </w:tcPr>
          <w:p w14:paraId="4540A1C0"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5B8A176B"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4B494841" w14:textId="77777777" w:rsidTr="00FB124F">
        <w:trPr>
          <w:trHeight w:val="300"/>
        </w:trPr>
        <w:tc>
          <w:tcPr>
            <w:tcW w:w="8877" w:type="dxa"/>
            <w:tcBorders>
              <w:top w:val="nil"/>
              <w:left w:val="nil"/>
              <w:bottom w:val="nil"/>
              <w:right w:val="nil"/>
            </w:tcBorders>
            <w:shd w:val="clear" w:color="auto" w:fill="auto"/>
            <w:noWrap/>
            <w:vAlign w:val="bottom"/>
            <w:hideMark/>
          </w:tcPr>
          <w:p w14:paraId="3B0EEFFA"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Nivolumab</w:t>
            </w:r>
          </w:p>
        </w:tc>
        <w:tc>
          <w:tcPr>
            <w:tcW w:w="972" w:type="dxa"/>
            <w:tcBorders>
              <w:top w:val="nil"/>
              <w:left w:val="nil"/>
              <w:bottom w:val="nil"/>
              <w:right w:val="nil"/>
            </w:tcBorders>
            <w:shd w:val="clear" w:color="auto" w:fill="auto"/>
            <w:noWrap/>
            <w:vAlign w:val="bottom"/>
            <w:hideMark/>
          </w:tcPr>
          <w:p w14:paraId="4719248F"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2A9C5A84"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0206D59B" w14:textId="77777777" w:rsidTr="00FB124F">
        <w:trPr>
          <w:trHeight w:val="300"/>
        </w:trPr>
        <w:tc>
          <w:tcPr>
            <w:tcW w:w="8877" w:type="dxa"/>
            <w:tcBorders>
              <w:top w:val="nil"/>
              <w:left w:val="nil"/>
              <w:bottom w:val="nil"/>
              <w:right w:val="nil"/>
            </w:tcBorders>
            <w:shd w:val="clear" w:color="auto" w:fill="auto"/>
            <w:noWrap/>
            <w:vAlign w:val="bottom"/>
            <w:hideMark/>
          </w:tcPr>
          <w:p w14:paraId="5565B855"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Osimertinib</w:t>
            </w:r>
          </w:p>
        </w:tc>
        <w:tc>
          <w:tcPr>
            <w:tcW w:w="972" w:type="dxa"/>
            <w:tcBorders>
              <w:top w:val="nil"/>
              <w:left w:val="nil"/>
              <w:bottom w:val="nil"/>
              <w:right w:val="nil"/>
            </w:tcBorders>
            <w:shd w:val="clear" w:color="auto" w:fill="auto"/>
            <w:noWrap/>
            <w:vAlign w:val="bottom"/>
            <w:hideMark/>
          </w:tcPr>
          <w:p w14:paraId="3A5D8319"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307B3757"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11</w:t>
            </w:r>
          </w:p>
        </w:tc>
      </w:tr>
      <w:tr w:rsidR="00FB124F" w:rsidRPr="00FB124F" w14:paraId="68E1C2E7" w14:textId="77777777" w:rsidTr="00FB124F">
        <w:trPr>
          <w:trHeight w:val="300"/>
        </w:trPr>
        <w:tc>
          <w:tcPr>
            <w:tcW w:w="9849" w:type="dxa"/>
            <w:gridSpan w:val="2"/>
            <w:tcBorders>
              <w:top w:val="nil"/>
              <w:left w:val="nil"/>
              <w:bottom w:val="nil"/>
              <w:right w:val="nil"/>
            </w:tcBorders>
            <w:shd w:val="clear" w:color="auto" w:fill="auto"/>
            <w:noWrap/>
            <w:vAlign w:val="bottom"/>
            <w:hideMark/>
          </w:tcPr>
          <w:p w14:paraId="5B3D5C58"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Other EGFR Inhibitors (Afatinib, Erlotinib, Gefitinib, Dacomitinib, Mobocertinib)</w:t>
            </w:r>
          </w:p>
        </w:tc>
        <w:tc>
          <w:tcPr>
            <w:tcW w:w="920" w:type="dxa"/>
            <w:tcBorders>
              <w:top w:val="nil"/>
              <w:left w:val="nil"/>
              <w:bottom w:val="nil"/>
              <w:right w:val="nil"/>
            </w:tcBorders>
            <w:shd w:val="clear" w:color="auto" w:fill="auto"/>
            <w:noWrap/>
            <w:vAlign w:val="bottom"/>
            <w:hideMark/>
          </w:tcPr>
          <w:p w14:paraId="5C0C8F49"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5</w:t>
            </w:r>
          </w:p>
        </w:tc>
      </w:tr>
      <w:tr w:rsidR="00FB124F" w:rsidRPr="00FB124F" w14:paraId="77CE2C1C" w14:textId="77777777" w:rsidTr="00FB124F">
        <w:trPr>
          <w:trHeight w:val="300"/>
        </w:trPr>
        <w:tc>
          <w:tcPr>
            <w:tcW w:w="8877" w:type="dxa"/>
            <w:tcBorders>
              <w:top w:val="nil"/>
              <w:left w:val="nil"/>
              <w:bottom w:val="nil"/>
              <w:right w:val="nil"/>
            </w:tcBorders>
            <w:shd w:val="clear" w:color="auto" w:fill="auto"/>
            <w:noWrap/>
            <w:vAlign w:val="bottom"/>
            <w:hideMark/>
          </w:tcPr>
          <w:p w14:paraId="37FEFA86"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Paclitaxel</w:t>
            </w:r>
          </w:p>
        </w:tc>
        <w:tc>
          <w:tcPr>
            <w:tcW w:w="972" w:type="dxa"/>
            <w:tcBorders>
              <w:top w:val="nil"/>
              <w:left w:val="nil"/>
              <w:bottom w:val="nil"/>
              <w:right w:val="nil"/>
            </w:tcBorders>
            <w:shd w:val="clear" w:color="auto" w:fill="auto"/>
            <w:noWrap/>
            <w:vAlign w:val="bottom"/>
            <w:hideMark/>
          </w:tcPr>
          <w:p w14:paraId="4BDDC204"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1568FD68"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5F9EE852" w14:textId="77777777" w:rsidTr="00FB124F">
        <w:trPr>
          <w:trHeight w:val="300"/>
        </w:trPr>
        <w:tc>
          <w:tcPr>
            <w:tcW w:w="8877" w:type="dxa"/>
            <w:tcBorders>
              <w:top w:val="nil"/>
              <w:left w:val="nil"/>
              <w:bottom w:val="nil"/>
              <w:right w:val="nil"/>
            </w:tcBorders>
            <w:shd w:val="clear" w:color="auto" w:fill="auto"/>
            <w:noWrap/>
            <w:vAlign w:val="bottom"/>
            <w:hideMark/>
          </w:tcPr>
          <w:p w14:paraId="3B7F2A41"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Pembrolizumab monotherapy</w:t>
            </w:r>
          </w:p>
        </w:tc>
        <w:tc>
          <w:tcPr>
            <w:tcW w:w="972" w:type="dxa"/>
            <w:tcBorders>
              <w:top w:val="nil"/>
              <w:left w:val="nil"/>
              <w:bottom w:val="nil"/>
              <w:right w:val="nil"/>
            </w:tcBorders>
            <w:shd w:val="clear" w:color="auto" w:fill="auto"/>
            <w:noWrap/>
            <w:vAlign w:val="bottom"/>
            <w:hideMark/>
          </w:tcPr>
          <w:p w14:paraId="1884D1AA"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3A6C1643"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32</w:t>
            </w:r>
          </w:p>
        </w:tc>
      </w:tr>
      <w:tr w:rsidR="00FB124F" w:rsidRPr="00FB124F" w14:paraId="6A535461" w14:textId="77777777" w:rsidTr="00FB124F">
        <w:trPr>
          <w:trHeight w:val="300"/>
        </w:trPr>
        <w:tc>
          <w:tcPr>
            <w:tcW w:w="8877" w:type="dxa"/>
            <w:tcBorders>
              <w:top w:val="nil"/>
              <w:left w:val="nil"/>
              <w:bottom w:val="nil"/>
              <w:right w:val="nil"/>
            </w:tcBorders>
            <w:shd w:val="clear" w:color="auto" w:fill="auto"/>
            <w:noWrap/>
            <w:vAlign w:val="bottom"/>
            <w:hideMark/>
          </w:tcPr>
          <w:p w14:paraId="6E4385C7"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Pembrolizumab + Paclitaxel + Platinum (Carboplatin/Cisplatin)</w:t>
            </w:r>
          </w:p>
        </w:tc>
        <w:tc>
          <w:tcPr>
            <w:tcW w:w="972" w:type="dxa"/>
            <w:tcBorders>
              <w:top w:val="nil"/>
              <w:left w:val="nil"/>
              <w:bottom w:val="nil"/>
              <w:right w:val="nil"/>
            </w:tcBorders>
            <w:shd w:val="clear" w:color="auto" w:fill="auto"/>
            <w:noWrap/>
            <w:vAlign w:val="bottom"/>
            <w:hideMark/>
          </w:tcPr>
          <w:p w14:paraId="2F700407"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77574733"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6</w:t>
            </w:r>
          </w:p>
        </w:tc>
      </w:tr>
      <w:tr w:rsidR="00FB124F" w:rsidRPr="00FB124F" w14:paraId="708C5216" w14:textId="77777777" w:rsidTr="00FB124F">
        <w:trPr>
          <w:trHeight w:val="300"/>
        </w:trPr>
        <w:tc>
          <w:tcPr>
            <w:tcW w:w="8877" w:type="dxa"/>
            <w:tcBorders>
              <w:top w:val="nil"/>
              <w:left w:val="nil"/>
              <w:bottom w:val="nil"/>
              <w:right w:val="nil"/>
            </w:tcBorders>
            <w:shd w:val="clear" w:color="auto" w:fill="auto"/>
            <w:noWrap/>
            <w:vAlign w:val="bottom"/>
            <w:hideMark/>
          </w:tcPr>
          <w:p w14:paraId="19D8F9F6"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Pembrolizumab + Pemetrexed + Platinum (Carboplatin/Cisplatin)</w:t>
            </w:r>
          </w:p>
        </w:tc>
        <w:tc>
          <w:tcPr>
            <w:tcW w:w="972" w:type="dxa"/>
            <w:tcBorders>
              <w:top w:val="nil"/>
              <w:left w:val="nil"/>
              <w:bottom w:val="nil"/>
              <w:right w:val="nil"/>
            </w:tcBorders>
            <w:shd w:val="clear" w:color="auto" w:fill="auto"/>
            <w:noWrap/>
            <w:vAlign w:val="bottom"/>
            <w:hideMark/>
          </w:tcPr>
          <w:p w14:paraId="33FA1B59"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1CF7FC07"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11</w:t>
            </w:r>
          </w:p>
        </w:tc>
      </w:tr>
      <w:tr w:rsidR="00FB124F" w:rsidRPr="00FB124F" w14:paraId="77BEF0B5" w14:textId="77777777" w:rsidTr="00FB124F">
        <w:trPr>
          <w:trHeight w:val="282"/>
        </w:trPr>
        <w:tc>
          <w:tcPr>
            <w:tcW w:w="8877" w:type="dxa"/>
            <w:tcBorders>
              <w:top w:val="nil"/>
              <w:left w:val="nil"/>
              <w:bottom w:val="nil"/>
              <w:right w:val="nil"/>
            </w:tcBorders>
            <w:shd w:val="clear" w:color="auto" w:fill="auto"/>
            <w:noWrap/>
            <w:vAlign w:val="bottom"/>
            <w:hideMark/>
          </w:tcPr>
          <w:p w14:paraId="52360303"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Pemetrexed + Platinum (Carboplatin/Cisplatin)</w:t>
            </w:r>
          </w:p>
        </w:tc>
        <w:tc>
          <w:tcPr>
            <w:tcW w:w="972" w:type="dxa"/>
            <w:tcBorders>
              <w:top w:val="nil"/>
              <w:left w:val="nil"/>
              <w:bottom w:val="nil"/>
              <w:right w:val="nil"/>
            </w:tcBorders>
            <w:shd w:val="clear" w:color="auto" w:fill="auto"/>
            <w:noWrap/>
            <w:vAlign w:val="bottom"/>
            <w:hideMark/>
          </w:tcPr>
          <w:p w14:paraId="7D1E6F04"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1395DFFF"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3972A3D0" w14:textId="77777777" w:rsidTr="00FB124F">
        <w:trPr>
          <w:trHeight w:val="282"/>
        </w:trPr>
        <w:tc>
          <w:tcPr>
            <w:tcW w:w="8877" w:type="dxa"/>
            <w:tcBorders>
              <w:top w:val="nil"/>
              <w:left w:val="nil"/>
              <w:bottom w:val="nil"/>
              <w:right w:val="nil"/>
            </w:tcBorders>
            <w:shd w:val="clear" w:color="auto" w:fill="auto"/>
            <w:noWrap/>
            <w:vAlign w:val="bottom"/>
            <w:hideMark/>
          </w:tcPr>
          <w:p w14:paraId="73253CFF"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RET Inhibitors (Pralsetinib, Selpercatinib)</w:t>
            </w:r>
          </w:p>
        </w:tc>
        <w:tc>
          <w:tcPr>
            <w:tcW w:w="972" w:type="dxa"/>
            <w:tcBorders>
              <w:top w:val="nil"/>
              <w:left w:val="nil"/>
              <w:bottom w:val="nil"/>
              <w:right w:val="nil"/>
            </w:tcBorders>
            <w:shd w:val="clear" w:color="auto" w:fill="auto"/>
            <w:noWrap/>
            <w:vAlign w:val="bottom"/>
            <w:hideMark/>
          </w:tcPr>
          <w:p w14:paraId="76A1FC8B"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3F624EB7"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Nil</w:t>
            </w:r>
          </w:p>
        </w:tc>
      </w:tr>
      <w:tr w:rsidR="00FB124F" w:rsidRPr="00FB124F" w14:paraId="1DE1EC6A" w14:textId="77777777" w:rsidTr="00FB124F">
        <w:trPr>
          <w:trHeight w:val="300"/>
        </w:trPr>
        <w:tc>
          <w:tcPr>
            <w:tcW w:w="8877" w:type="dxa"/>
            <w:tcBorders>
              <w:top w:val="nil"/>
              <w:left w:val="nil"/>
              <w:bottom w:val="nil"/>
              <w:right w:val="nil"/>
            </w:tcBorders>
            <w:shd w:val="clear" w:color="auto" w:fill="auto"/>
            <w:noWrap/>
            <w:vAlign w:val="bottom"/>
            <w:hideMark/>
          </w:tcPr>
          <w:p w14:paraId="7E033A86"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Sotorasib</w:t>
            </w:r>
          </w:p>
        </w:tc>
        <w:tc>
          <w:tcPr>
            <w:tcW w:w="972" w:type="dxa"/>
            <w:tcBorders>
              <w:top w:val="nil"/>
              <w:left w:val="nil"/>
              <w:bottom w:val="nil"/>
              <w:right w:val="nil"/>
            </w:tcBorders>
            <w:shd w:val="clear" w:color="auto" w:fill="auto"/>
            <w:noWrap/>
            <w:vAlign w:val="bottom"/>
            <w:hideMark/>
          </w:tcPr>
          <w:p w14:paraId="5CE93052"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78EFAD8D"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563C0A6D" w14:textId="77777777" w:rsidTr="00FB124F">
        <w:trPr>
          <w:trHeight w:val="300"/>
        </w:trPr>
        <w:tc>
          <w:tcPr>
            <w:tcW w:w="8877" w:type="dxa"/>
            <w:tcBorders>
              <w:top w:val="nil"/>
              <w:left w:val="nil"/>
              <w:bottom w:val="nil"/>
              <w:right w:val="nil"/>
            </w:tcBorders>
            <w:shd w:val="clear" w:color="auto" w:fill="auto"/>
            <w:noWrap/>
            <w:vAlign w:val="bottom"/>
            <w:hideMark/>
          </w:tcPr>
          <w:p w14:paraId="7F377173"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Tepotinib</w:t>
            </w:r>
          </w:p>
        </w:tc>
        <w:tc>
          <w:tcPr>
            <w:tcW w:w="972" w:type="dxa"/>
            <w:tcBorders>
              <w:top w:val="nil"/>
              <w:left w:val="nil"/>
              <w:bottom w:val="nil"/>
              <w:right w:val="nil"/>
            </w:tcBorders>
            <w:shd w:val="clear" w:color="auto" w:fill="auto"/>
            <w:noWrap/>
            <w:vAlign w:val="bottom"/>
            <w:hideMark/>
          </w:tcPr>
          <w:p w14:paraId="0D084BE8"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1254B1F7"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&lt;5*</w:t>
            </w:r>
          </w:p>
        </w:tc>
      </w:tr>
      <w:tr w:rsidR="00FB124F" w:rsidRPr="00FB124F" w14:paraId="6C4AE497" w14:textId="77777777" w:rsidTr="00FB124F">
        <w:trPr>
          <w:trHeight w:val="300"/>
        </w:trPr>
        <w:tc>
          <w:tcPr>
            <w:tcW w:w="8877" w:type="dxa"/>
            <w:tcBorders>
              <w:top w:val="nil"/>
              <w:left w:val="nil"/>
              <w:bottom w:val="nil"/>
              <w:right w:val="nil"/>
            </w:tcBorders>
            <w:shd w:val="clear" w:color="auto" w:fill="auto"/>
            <w:noWrap/>
            <w:vAlign w:val="bottom"/>
            <w:hideMark/>
          </w:tcPr>
          <w:p w14:paraId="5868CC31"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Vinorelbine monotherapy or in combination with Carboplatin/Cisplatin</w:t>
            </w:r>
          </w:p>
        </w:tc>
        <w:tc>
          <w:tcPr>
            <w:tcW w:w="972" w:type="dxa"/>
            <w:tcBorders>
              <w:top w:val="nil"/>
              <w:left w:val="nil"/>
              <w:bottom w:val="nil"/>
              <w:right w:val="nil"/>
            </w:tcBorders>
            <w:shd w:val="clear" w:color="auto" w:fill="auto"/>
            <w:noWrap/>
            <w:vAlign w:val="bottom"/>
            <w:hideMark/>
          </w:tcPr>
          <w:p w14:paraId="476E5069"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6E0FB976"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6</w:t>
            </w:r>
          </w:p>
        </w:tc>
      </w:tr>
      <w:tr w:rsidR="00FB124F" w:rsidRPr="00FB124F" w14:paraId="09C0AD47" w14:textId="77777777" w:rsidTr="00FB124F">
        <w:trPr>
          <w:trHeight w:val="300"/>
        </w:trPr>
        <w:tc>
          <w:tcPr>
            <w:tcW w:w="8877" w:type="dxa"/>
            <w:tcBorders>
              <w:top w:val="nil"/>
              <w:left w:val="nil"/>
              <w:bottom w:val="nil"/>
              <w:right w:val="nil"/>
            </w:tcBorders>
            <w:shd w:val="clear" w:color="auto" w:fill="auto"/>
            <w:noWrap/>
            <w:vAlign w:val="bottom"/>
            <w:hideMark/>
          </w:tcPr>
          <w:p w14:paraId="10307775"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Other active systemic anti-cancer therapy (SACT)</w:t>
            </w:r>
          </w:p>
        </w:tc>
        <w:tc>
          <w:tcPr>
            <w:tcW w:w="972" w:type="dxa"/>
            <w:tcBorders>
              <w:top w:val="nil"/>
              <w:left w:val="nil"/>
              <w:bottom w:val="nil"/>
              <w:right w:val="nil"/>
            </w:tcBorders>
            <w:shd w:val="clear" w:color="auto" w:fill="auto"/>
            <w:noWrap/>
            <w:vAlign w:val="bottom"/>
            <w:hideMark/>
          </w:tcPr>
          <w:p w14:paraId="2E638E0F"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3C4DA506"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15</w:t>
            </w:r>
          </w:p>
        </w:tc>
      </w:tr>
      <w:tr w:rsidR="00FB124F" w:rsidRPr="00FB124F" w14:paraId="6D93C654" w14:textId="77777777" w:rsidTr="00FB124F">
        <w:trPr>
          <w:trHeight w:val="300"/>
        </w:trPr>
        <w:tc>
          <w:tcPr>
            <w:tcW w:w="8877" w:type="dxa"/>
            <w:tcBorders>
              <w:top w:val="nil"/>
              <w:left w:val="nil"/>
              <w:bottom w:val="nil"/>
              <w:right w:val="nil"/>
            </w:tcBorders>
            <w:shd w:val="clear" w:color="auto" w:fill="auto"/>
            <w:noWrap/>
            <w:vAlign w:val="bottom"/>
            <w:hideMark/>
          </w:tcPr>
          <w:p w14:paraId="3FC424F4"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r w:rsidRPr="00FB124F">
              <w:rPr>
                <w:rFonts w:ascii="Verdana" w:eastAsia="Times New Roman" w:hAnsi="Verdana" w:cs="Calibri"/>
                <w:b/>
                <w:bCs/>
                <w:color w:val="000000"/>
                <w:sz w:val="22"/>
                <w:szCs w:val="22"/>
              </w:rPr>
              <w:t>Palliative care only</w:t>
            </w:r>
          </w:p>
        </w:tc>
        <w:tc>
          <w:tcPr>
            <w:tcW w:w="972" w:type="dxa"/>
            <w:tcBorders>
              <w:top w:val="nil"/>
              <w:left w:val="nil"/>
              <w:bottom w:val="nil"/>
              <w:right w:val="nil"/>
            </w:tcBorders>
            <w:shd w:val="clear" w:color="auto" w:fill="auto"/>
            <w:noWrap/>
            <w:vAlign w:val="bottom"/>
            <w:hideMark/>
          </w:tcPr>
          <w:p w14:paraId="62CA8C44" w14:textId="77777777" w:rsidR="00FB124F" w:rsidRPr="00FB124F" w:rsidRDefault="00FB124F" w:rsidP="00FB124F">
            <w:pPr>
              <w:spacing w:before="0" w:after="0" w:line="240" w:lineRule="auto"/>
              <w:ind w:left="0" w:right="0"/>
              <w:rPr>
                <w:rFonts w:ascii="Verdana" w:eastAsia="Times New Roman" w:hAnsi="Verdana" w:cs="Calibri"/>
                <w:b/>
                <w:bCs/>
                <w:color w:val="000000"/>
                <w:sz w:val="22"/>
                <w:szCs w:val="22"/>
              </w:rPr>
            </w:pPr>
          </w:p>
        </w:tc>
        <w:tc>
          <w:tcPr>
            <w:tcW w:w="920" w:type="dxa"/>
            <w:tcBorders>
              <w:top w:val="nil"/>
              <w:left w:val="nil"/>
              <w:bottom w:val="nil"/>
              <w:right w:val="nil"/>
            </w:tcBorders>
            <w:shd w:val="clear" w:color="auto" w:fill="auto"/>
            <w:noWrap/>
            <w:vAlign w:val="bottom"/>
            <w:hideMark/>
          </w:tcPr>
          <w:p w14:paraId="0F73EE90" w14:textId="77777777" w:rsidR="00FB124F" w:rsidRPr="00FB124F" w:rsidRDefault="00FB124F" w:rsidP="00FB124F">
            <w:pPr>
              <w:spacing w:before="0" w:after="0" w:line="240" w:lineRule="auto"/>
              <w:ind w:left="0" w:right="0"/>
              <w:jc w:val="center"/>
              <w:rPr>
                <w:rFonts w:ascii="Verdana" w:eastAsia="Times New Roman" w:hAnsi="Verdana" w:cs="Calibri"/>
                <w:color w:val="000000"/>
                <w:sz w:val="22"/>
                <w:szCs w:val="22"/>
              </w:rPr>
            </w:pPr>
            <w:r w:rsidRPr="00FB124F">
              <w:rPr>
                <w:rFonts w:ascii="Verdana" w:eastAsia="Times New Roman" w:hAnsi="Verdana" w:cs="Calibri"/>
                <w:color w:val="000000"/>
                <w:sz w:val="22"/>
                <w:szCs w:val="22"/>
              </w:rPr>
              <w:t>**</w:t>
            </w:r>
          </w:p>
        </w:tc>
      </w:tr>
    </w:tbl>
    <w:p w14:paraId="190F7E8A" w14:textId="6ADD49A2" w:rsidR="008F6D23" w:rsidRPr="008F6D23" w:rsidRDefault="008F6D23" w:rsidP="008F6D23">
      <w:pPr>
        <w:spacing w:after="0"/>
        <w:rPr>
          <w:rFonts w:ascii="Verdana" w:hAnsi="Verdana"/>
          <w:b/>
          <w:bCs/>
          <w:sz w:val="22"/>
          <w:szCs w:val="22"/>
          <w:lang w:val="en-US"/>
        </w:rPr>
      </w:pPr>
    </w:p>
    <w:p w14:paraId="4AC408BA" w14:textId="77777777" w:rsidR="00FB124F" w:rsidRPr="00FB124F" w:rsidRDefault="00FB124F" w:rsidP="00FB124F">
      <w:pPr>
        <w:pStyle w:val="Default"/>
        <w:rPr>
          <w:sz w:val="22"/>
          <w:szCs w:val="22"/>
        </w:rPr>
      </w:pPr>
      <w:r w:rsidRPr="00FB124F">
        <w:rPr>
          <w:b/>
          <w:bCs/>
          <w:sz w:val="22"/>
          <w:szCs w:val="22"/>
        </w:rPr>
        <w:t xml:space="preserve">* </w:t>
      </w:r>
      <w:r w:rsidRPr="00FB124F">
        <w:rPr>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w:t>
      </w:r>
      <w:r w:rsidRPr="00FB124F">
        <w:rPr>
          <w:sz w:val="22"/>
          <w:szCs w:val="22"/>
        </w:rPr>
        <w:lastRenderedPageBreak/>
        <w:t xml:space="preserve">regard to Articles 5, 6, and 9 of GDPR. This exemption is absolute and therefore there is no requirement to apply the public interest test. </w:t>
      </w:r>
    </w:p>
    <w:p w14:paraId="2178A95B" w14:textId="5D8F98A5" w:rsidR="00873328" w:rsidRPr="00FB124F" w:rsidRDefault="00FB124F" w:rsidP="00FB124F">
      <w:pPr>
        <w:ind w:left="0"/>
        <w:rPr>
          <w:rFonts w:ascii="Verdana" w:hAnsi="Verdana"/>
          <w:b/>
          <w:bCs/>
          <w:noProof/>
          <w:sz w:val="22"/>
          <w:szCs w:val="22"/>
        </w:rPr>
      </w:pPr>
      <w:r w:rsidRPr="00FB124F">
        <w:rPr>
          <w:rFonts w:ascii="Verdana" w:hAnsi="Verdana"/>
          <w:b/>
          <w:bCs/>
          <w:sz w:val="22"/>
          <w:szCs w:val="22"/>
        </w:rPr>
        <w:t xml:space="preserve">** </w:t>
      </w:r>
      <w:r w:rsidRPr="00FB124F">
        <w:rPr>
          <w:rFonts w:ascii="Verdana" w:hAnsi="Verdana"/>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970B72" w14:textId="4BC3614D" w:rsidR="00A10460" w:rsidRDefault="00421E7F" w:rsidP="00421E7F">
      <w:pPr>
        <w:rPr>
          <w:rFonts w:ascii="Verdana" w:hAnsi="Verdana"/>
          <w:b/>
          <w:bCs/>
          <w:noProof/>
          <w:sz w:val="22"/>
          <w:szCs w:val="22"/>
        </w:rPr>
      </w:pPr>
      <w:r w:rsidRPr="00FB124F">
        <w:rPr>
          <w:rFonts w:ascii="Verdana" w:hAnsi="Verdana"/>
          <w:b/>
          <w:bCs/>
          <w:noProof/>
          <w:sz w:val="22"/>
          <w:szCs w:val="22"/>
        </w:rPr>
        <w:br/>
      </w: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2" type="#_x0000_t75" style="width:20.25pt;height:20.25pt;visibility:visible;mso-wrap-style:square" o:bullet="t">
        <v:imagedata r:id="rId1" o:title=""/>
      </v:shape>
    </w:pict>
  </w:numPicBullet>
  <w:numPicBullet w:numPicBulletId="1">
    <w:pict>
      <v:shape id="_x0000_i1323" type="#_x0000_t75" style="width:382.5pt;height:382.5pt;visibility:visible;mso-wrap-style:square" o:bullet="t">
        <v:imagedata r:id="rId2" o:title=""/>
      </v:shape>
    </w:pict>
  </w:numPicBullet>
  <w:numPicBullet w:numPicBulletId="2">
    <w:pict>
      <v:shape id="_x0000_i1324" type="#_x0000_t75" style="width:225.75pt;height:225.75pt;visibility:visible;mso-wrap-style:square" o:bullet="t">
        <v:imagedata r:id="rId3" o:title=""/>
      </v:shape>
    </w:pict>
  </w:numPicBullet>
  <w:numPicBullet w:numPicBulletId="3">
    <w:pict>
      <v:shape id="_x0000_i132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2B03E19"/>
    <w:multiLevelType w:val="hybridMultilevel"/>
    <w:tmpl w:val="FD844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F6D23"/>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24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rsid w:val="00FB124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30723635">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01260722">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58891566">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132</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25</cp:revision>
  <cp:lastPrinted>2019-03-26T11:11:00Z</cp:lastPrinted>
  <dcterms:created xsi:type="dcterms:W3CDTF">2021-09-13T07:38:00Z</dcterms:created>
  <dcterms:modified xsi:type="dcterms:W3CDTF">2025-02-11T15:49:00Z</dcterms:modified>
</cp:coreProperties>
</file>