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0504F62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81A81">
                              <w:rPr>
                                <w:rFonts w:ascii="Verdana" w:hAnsi="Verdana"/>
                                <w:b/>
                                <w:sz w:val="22"/>
                                <w:szCs w:val="22"/>
                              </w:rPr>
                              <w:t>25-B-028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0504F620"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81A81">
                        <w:rPr>
                          <w:rFonts w:ascii="Verdana" w:hAnsi="Verdana"/>
                          <w:b/>
                          <w:sz w:val="22"/>
                          <w:szCs w:val="22"/>
                        </w:rPr>
                        <w:t>25-B-028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C645593" w14:textId="31B6FD79" w:rsidR="00F81A81" w:rsidRPr="00F81A81" w:rsidRDefault="00F81A81" w:rsidP="00F81A81">
      <w:pPr>
        <w:spacing w:before="280"/>
        <w:rPr>
          <w:rFonts w:ascii="Verdana" w:hAnsi="Verdana"/>
          <w:b/>
          <w:sz w:val="22"/>
        </w:rPr>
      </w:pPr>
      <w:r w:rsidRPr="00F81A81">
        <w:rPr>
          <w:rFonts w:ascii="Verdana" w:hAnsi="Verdana"/>
          <w:b/>
          <w:sz w:val="22"/>
        </w:rPr>
        <w:t>Please can I submit a FOI request to access:</w:t>
      </w:r>
    </w:p>
    <w:p w14:paraId="3033E05D" w14:textId="2DD569AE" w:rsidR="00F81A81" w:rsidRPr="00F81A81" w:rsidRDefault="00F81A81" w:rsidP="00F81A81">
      <w:pPr>
        <w:pStyle w:val="ListParagraph"/>
        <w:numPr>
          <w:ilvl w:val="0"/>
          <w:numId w:val="20"/>
        </w:numPr>
        <w:spacing w:before="280"/>
        <w:rPr>
          <w:rFonts w:ascii="Verdana" w:hAnsi="Verdana"/>
          <w:b/>
          <w:sz w:val="22"/>
        </w:rPr>
      </w:pPr>
      <w:r w:rsidRPr="00F81A81">
        <w:rPr>
          <w:rFonts w:ascii="Verdana" w:hAnsi="Verdana"/>
          <w:b/>
          <w:sz w:val="22"/>
        </w:rPr>
        <w:t>a breakdown of the estimated cost of the maintenance backlog - by hospital in the Health Board - most recent figures available please.</w:t>
      </w:r>
    </w:p>
    <w:p w14:paraId="3E4B89E8" w14:textId="23B84BEE" w:rsidR="00286642" w:rsidRPr="00F81A81" w:rsidRDefault="00F81A81" w:rsidP="00F81A81">
      <w:pPr>
        <w:pStyle w:val="ListParagraph"/>
        <w:numPr>
          <w:ilvl w:val="0"/>
          <w:numId w:val="20"/>
        </w:numPr>
        <w:spacing w:before="280"/>
        <w:rPr>
          <w:rFonts w:ascii="Verdana" w:hAnsi="Verdana"/>
          <w:b/>
          <w:sz w:val="22"/>
        </w:rPr>
      </w:pPr>
      <w:r w:rsidRPr="00F81A81">
        <w:rPr>
          <w:rFonts w:ascii="Verdana" w:hAnsi="Verdana"/>
          <w:b/>
          <w:sz w:val="22"/>
        </w:rPr>
        <w:t>outstanding maintenance classed as urgent or critical in any hospital (by department if applicable) and estimated cost.</w:t>
      </w:r>
    </w:p>
    <w:p w14:paraId="10D8838F" w14:textId="581FEF50" w:rsidR="00F81A81" w:rsidRPr="00F81A81" w:rsidRDefault="00F81A81" w:rsidP="00F81A81">
      <w:pPr>
        <w:rPr>
          <w:rFonts w:ascii="Verdana" w:hAnsi="Verdana"/>
          <w:noProof/>
          <w:sz w:val="22"/>
          <w:szCs w:val="22"/>
        </w:rPr>
      </w:pPr>
      <w:r w:rsidRPr="00F81A81">
        <w:rPr>
          <w:rFonts w:ascii="Verdana" w:hAnsi="Verdana"/>
          <w:noProof/>
          <w:sz w:val="22"/>
          <w:szCs w:val="22"/>
        </w:rPr>
        <w:t xml:space="preserve">Backlog maintenance costs are a measure of the condition and associated risks relating to fixed building components and engineering assets (sub-elements). Historically, such costs have been compiled and presented as the cost to achieve acceptable condition B relevant to the following three categories: </w:t>
      </w:r>
    </w:p>
    <w:p w14:paraId="5D3BB79A" w14:textId="7CFE905C" w:rsidR="00F81A81" w:rsidRPr="00F81A81" w:rsidRDefault="00F81A81" w:rsidP="00F81A81">
      <w:pPr>
        <w:pStyle w:val="ListParagraph"/>
        <w:numPr>
          <w:ilvl w:val="0"/>
          <w:numId w:val="22"/>
        </w:numPr>
        <w:rPr>
          <w:rFonts w:ascii="Verdana" w:hAnsi="Verdana"/>
          <w:noProof/>
          <w:sz w:val="22"/>
          <w:szCs w:val="22"/>
        </w:rPr>
      </w:pPr>
      <w:r w:rsidRPr="00F81A81">
        <w:rPr>
          <w:rFonts w:ascii="Verdana" w:hAnsi="Verdana"/>
          <w:noProof/>
          <w:sz w:val="22"/>
          <w:szCs w:val="22"/>
        </w:rPr>
        <w:t>Cost to achieve an acceptable Physical Condition B</w:t>
      </w:r>
      <w:r w:rsidRPr="00F81A81">
        <w:rPr>
          <w:rFonts w:ascii="Verdana" w:hAnsi="Verdana"/>
          <w:noProof/>
          <w:sz w:val="22"/>
          <w:szCs w:val="22"/>
        </w:rPr>
        <w:t xml:space="preserve"> (</w:t>
      </w:r>
      <w:r w:rsidRPr="00F81A81">
        <w:rPr>
          <w:rFonts w:ascii="Verdana" w:hAnsi="Verdana"/>
          <w:noProof/>
          <w:sz w:val="22"/>
          <w:szCs w:val="22"/>
        </w:rPr>
        <w:t>The asset is sound, operationally safe and exhibits only minor deterioration</w:t>
      </w:r>
      <w:r w:rsidRPr="00F81A81">
        <w:rPr>
          <w:rFonts w:ascii="Verdana" w:hAnsi="Verdana"/>
          <w:noProof/>
          <w:sz w:val="22"/>
          <w:szCs w:val="22"/>
        </w:rPr>
        <w:t>)</w:t>
      </w:r>
    </w:p>
    <w:p w14:paraId="56FF77B2" w14:textId="151A58DF" w:rsidR="00F81A81" w:rsidRPr="00F81A81" w:rsidRDefault="00F81A81" w:rsidP="00F81A81">
      <w:pPr>
        <w:pStyle w:val="ListParagraph"/>
        <w:numPr>
          <w:ilvl w:val="0"/>
          <w:numId w:val="22"/>
        </w:numPr>
        <w:rPr>
          <w:rFonts w:ascii="Verdana" w:hAnsi="Verdana"/>
          <w:noProof/>
          <w:sz w:val="22"/>
          <w:szCs w:val="22"/>
        </w:rPr>
      </w:pPr>
      <w:r w:rsidRPr="00F81A81">
        <w:rPr>
          <w:rFonts w:ascii="Verdana" w:hAnsi="Verdana"/>
          <w:noProof/>
          <w:sz w:val="22"/>
          <w:szCs w:val="22"/>
        </w:rPr>
        <w:t xml:space="preserve">Cost to achieve statutory compliance with Fire Safety legislation and Firecode. </w:t>
      </w:r>
    </w:p>
    <w:p w14:paraId="219FBEF5" w14:textId="63636D42" w:rsidR="00F81A81" w:rsidRPr="00F81A81" w:rsidRDefault="00F81A81" w:rsidP="00F81A81">
      <w:pPr>
        <w:pStyle w:val="ListParagraph"/>
        <w:numPr>
          <w:ilvl w:val="0"/>
          <w:numId w:val="22"/>
        </w:numPr>
        <w:rPr>
          <w:rFonts w:ascii="Verdana" w:hAnsi="Verdana"/>
          <w:noProof/>
          <w:sz w:val="22"/>
          <w:szCs w:val="22"/>
        </w:rPr>
      </w:pPr>
      <w:r w:rsidRPr="00F81A81">
        <w:rPr>
          <w:rFonts w:ascii="Verdana" w:hAnsi="Verdana"/>
          <w:noProof/>
          <w:sz w:val="22"/>
          <w:szCs w:val="22"/>
        </w:rPr>
        <w:t xml:space="preserve">Cost to achieve statutory compliance with Health &amp; Safety legislation (excluding fire safety). </w:t>
      </w:r>
    </w:p>
    <w:p w14:paraId="5F645FD3" w14:textId="719D3D1A" w:rsidR="00B44DF8" w:rsidRPr="00B44DF8" w:rsidRDefault="00B44DF8" w:rsidP="00B44DF8">
      <w:pPr>
        <w:pStyle w:val="Default"/>
        <w:ind w:left="505"/>
        <w:rPr>
          <w:rFonts w:ascii="Verdana" w:hAnsi="Verdana"/>
          <w:color w:val="auto"/>
          <w:sz w:val="20"/>
          <w:szCs w:val="20"/>
        </w:rPr>
      </w:pPr>
      <w:r>
        <w:rPr>
          <w:rFonts w:ascii="Verdana" w:hAnsi="Verdana"/>
          <w:noProof/>
          <w:sz w:val="22"/>
          <w:szCs w:val="22"/>
        </w:rPr>
        <w:br/>
      </w:r>
      <w:r w:rsidRPr="00B44DF8">
        <w:rPr>
          <w:rFonts w:ascii="Verdana" w:hAnsi="Verdana"/>
          <w:color w:val="auto"/>
          <w:sz w:val="22"/>
          <w:szCs w:val="22"/>
        </w:rPr>
        <w:t>Our risk factors are defined as below;</w:t>
      </w:r>
      <w:r w:rsidRPr="00B44DF8">
        <w:rPr>
          <w:rFonts w:ascii="Verdana" w:hAnsi="Verdana"/>
          <w:color w:val="auto"/>
          <w:sz w:val="20"/>
          <w:szCs w:val="20"/>
        </w:rPr>
        <w:br/>
      </w:r>
    </w:p>
    <w:p w14:paraId="75D23064" w14:textId="14340A91" w:rsidR="00B44DF8" w:rsidRPr="00744C4A" w:rsidRDefault="00B44DF8" w:rsidP="00744C4A">
      <w:pPr>
        <w:pStyle w:val="Default"/>
        <w:numPr>
          <w:ilvl w:val="0"/>
          <w:numId w:val="23"/>
        </w:numPr>
        <w:rPr>
          <w:rFonts w:ascii="Verdana" w:hAnsi="Verdana"/>
          <w:color w:val="auto"/>
          <w:sz w:val="22"/>
          <w:szCs w:val="22"/>
        </w:rPr>
      </w:pPr>
      <w:r w:rsidRPr="00B44DF8">
        <w:rPr>
          <w:rFonts w:ascii="Verdana" w:hAnsi="Verdana"/>
          <w:color w:val="auto"/>
          <w:sz w:val="22"/>
          <w:szCs w:val="22"/>
        </w:rPr>
        <w:t xml:space="preserve">HIGH Risk </w:t>
      </w:r>
      <w:r w:rsidRPr="00B44DF8">
        <w:rPr>
          <w:rFonts w:ascii="Verdana" w:hAnsi="Verdana"/>
          <w:color w:val="auto"/>
          <w:sz w:val="22"/>
          <w:szCs w:val="22"/>
        </w:rPr>
        <w:t>-</w:t>
      </w:r>
      <w:r w:rsidRPr="00B44DF8">
        <w:rPr>
          <w:rFonts w:ascii="Verdana" w:hAnsi="Verdana"/>
          <w:color w:val="auto"/>
          <w:sz w:val="22"/>
          <w:szCs w:val="22"/>
        </w:rPr>
        <w:t xml:space="preserve"> that where repairs/replacement must be addressed with URGENT PRIORITY in order to prevent catastrophic failure, major disruption to clinical services or deficiencies in safety liable to cause serious injury and/or prosecution. </w:t>
      </w:r>
    </w:p>
    <w:p w14:paraId="1C817FD7" w14:textId="1DBF48AC" w:rsidR="00B44DF8" w:rsidRPr="00744C4A" w:rsidRDefault="00B44DF8" w:rsidP="00744C4A">
      <w:pPr>
        <w:pStyle w:val="Default"/>
        <w:numPr>
          <w:ilvl w:val="0"/>
          <w:numId w:val="23"/>
        </w:numPr>
        <w:rPr>
          <w:rFonts w:ascii="Verdana" w:hAnsi="Verdana"/>
          <w:color w:val="auto"/>
          <w:sz w:val="22"/>
          <w:szCs w:val="22"/>
        </w:rPr>
      </w:pPr>
      <w:r w:rsidRPr="00B44DF8">
        <w:rPr>
          <w:rFonts w:ascii="Verdana" w:hAnsi="Verdana"/>
          <w:color w:val="auto"/>
          <w:sz w:val="22"/>
          <w:szCs w:val="22"/>
        </w:rPr>
        <w:lastRenderedPageBreak/>
        <w:t xml:space="preserve">SIGNIFICANT Risk </w:t>
      </w:r>
      <w:r w:rsidRPr="00B44DF8">
        <w:rPr>
          <w:rFonts w:ascii="Verdana" w:hAnsi="Verdana"/>
          <w:color w:val="auto"/>
          <w:sz w:val="22"/>
          <w:szCs w:val="22"/>
        </w:rPr>
        <w:t>-</w:t>
      </w:r>
      <w:r w:rsidRPr="00B44DF8">
        <w:rPr>
          <w:rFonts w:ascii="Verdana" w:hAnsi="Verdana"/>
          <w:color w:val="auto"/>
          <w:sz w:val="22"/>
          <w:szCs w:val="22"/>
        </w:rPr>
        <w:t xml:space="preserve"> that where repairs/replacement require PRIORITY management and expenditure in the short term so as not to cause undue concern to statutory enforcement bodies or risk to healthcare delivery or safety.  </w:t>
      </w:r>
    </w:p>
    <w:p w14:paraId="660AB62A" w14:textId="7BB7265D" w:rsidR="00B44DF8" w:rsidRPr="00744C4A" w:rsidRDefault="00B44DF8" w:rsidP="00744C4A">
      <w:pPr>
        <w:pStyle w:val="Default"/>
        <w:numPr>
          <w:ilvl w:val="0"/>
          <w:numId w:val="23"/>
        </w:numPr>
        <w:rPr>
          <w:rFonts w:ascii="Verdana" w:hAnsi="Verdana"/>
          <w:color w:val="auto"/>
          <w:sz w:val="22"/>
          <w:szCs w:val="22"/>
        </w:rPr>
      </w:pPr>
      <w:r w:rsidRPr="00B44DF8">
        <w:rPr>
          <w:rFonts w:ascii="Verdana" w:hAnsi="Verdana"/>
          <w:color w:val="auto"/>
          <w:sz w:val="22"/>
          <w:szCs w:val="22"/>
        </w:rPr>
        <w:t xml:space="preserve">MODERATE Risk </w:t>
      </w:r>
      <w:r w:rsidRPr="00B44DF8">
        <w:rPr>
          <w:rFonts w:ascii="Verdana" w:hAnsi="Verdana"/>
          <w:color w:val="auto"/>
          <w:sz w:val="22"/>
          <w:szCs w:val="22"/>
        </w:rPr>
        <w:t>-</w:t>
      </w:r>
      <w:r w:rsidRPr="00B44DF8">
        <w:rPr>
          <w:rFonts w:ascii="Verdana" w:hAnsi="Verdana"/>
          <w:color w:val="auto"/>
          <w:sz w:val="22"/>
          <w:szCs w:val="22"/>
        </w:rPr>
        <w:t xml:space="preserve"> that where repairs/replacement require effective management and expenditure in the medium term through close monitoring so as not to cause undue concern to statutory enforcement bodies or risk to healthcare delivery or safety. </w:t>
      </w:r>
    </w:p>
    <w:p w14:paraId="73B09F22" w14:textId="61C38495" w:rsidR="00B44DF8" w:rsidRPr="00744C4A" w:rsidRDefault="00B44DF8" w:rsidP="00744C4A">
      <w:pPr>
        <w:pStyle w:val="Default"/>
        <w:numPr>
          <w:ilvl w:val="0"/>
          <w:numId w:val="23"/>
        </w:numPr>
        <w:rPr>
          <w:rFonts w:ascii="Verdana" w:hAnsi="Verdana"/>
          <w:color w:val="auto"/>
          <w:sz w:val="22"/>
          <w:szCs w:val="22"/>
        </w:rPr>
      </w:pPr>
      <w:r w:rsidRPr="00B44DF8">
        <w:rPr>
          <w:rFonts w:ascii="Verdana" w:hAnsi="Verdana"/>
          <w:color w:val="auto"/>
          <w:sz w:val="22"/>
          <w:szCs w:val="22"/>
        </w:rPr>
        <w:t xml:space="preserve">LOW Risk </w:t>
      </w:r>
      <w:r w:rsidRPr="00B44DF8">
        <w:rPr>
          <w:rFonts w:ascii="Verdana" w:hAnsi="Verdana"/>
          <w:color w:val="auto"/>
          <w:sz w:val="22"/>
          <w:szCs w:val="22"/>
        </w:rPr>
        <w:t>-</w:t>
      </w:r>
      <w:r w:rsidRPr="00B44DF8">
        <w:rPr>
          <w:rFonts w:ascii="Verdana" w:hAnsi="Verdana"/>
          <w:color w:val="auto"/>
          <w:sz w:val="22"/>
          <w:szCs w:val="22"/>
        </w:rPr>
        <w:t xml:space="preserve"> that where repairs/replacement require to be addressed through agreed maintenance programmes or included in the later years of your estate strategy.  </w:t>
      </w:r>
    </w:p>
    <w:p w14:paraId="07845DA5" w14:textId="7B77BC6D" w:rsidR="00B44DF8" w:rsidRPr="00B44DF8" w:rsidRDefault="00B44DF8" w:rsidP="00B44DF8">
      <w:pPr>
        <w:pStyle w:val="Default"/>
        <w:numPr>
          <w:ilvl w:val="0"/>
          <w:numId w:val="23"/>
        </w:numPr>
        <w:rPr>
          <w:rFonts w:ascii="Verdana" w:hAnsi="Verdana"/>
          <w:color w:val="auto"/>
          <w:sz w:val="22"/>
          <w:szCs w:val="22"/>
        </w:rPr>
      </w:pPr>
      <w:r w:rsidRPr="00B44DF8">
        <w:rPr>
          <w:rFonts w:ascii="Verdana" w:hAnsi="Verdana"/>
          <w:noProof/>
          <w:sz w:val="22"/>
          <w:szCs w:val="22"/>
        </w:rPr>
        <w:t>RISK ADJUSTED BACKLOG The sum of all risk adjusted backlog costs for each building/block and external area relating to all assets associated with property occupied by the NHS Organisation.</w:t>
      </w:r>
      <w:r>
        <w:rPr>
          <w:rFonts w:ascii="Verdana" w:hAnsi="Verdana"/>
          <w:noProof/>
          <w:sz w:val="22"/>
          <w:szCs w:val="22"/>
        </w:rPr>
        <w:br/>
      </w:r>
      <w:r w:rsidR="00F81A81">
        <w:rPr>
          <w:rFonts w:ascii="Verdana" w:hAnsi="Verdana"/>
          <w:noProof/>
          <w:sz w:val="22"/>
          <w:szCs w:val="22"/>
        </w:rPr>
        <w:br/>
      </w:r>
    </w:p>
    <w:p w14:paraId="23DF621B" w14:textId="1A0C8AF1" w:rsidR="00873328" w:rsidRPr="00B44DF8" w:rsidRDefault="00F81A81" w:rsidP="00B44DF8">
      <w:pPr>
        <w:pStyle w:val="Default"/>
        <w:rPr>
          <w:rFonts w:ascii="Verdana" w:hAnsi="Verdana"/>
          <w:color w:val="auto"/>
          <w:sz w:val="22"/>
          <w:szCs w:val="22"/>
        </w:rPr>
      </w:pPr>
      <w:r w:rsidRPr="00F81A81">
        <w:rPr>
          <w:rFonts w:ascii="Verdana" w:hAnsi="Verdana"/>
          <w:noProof/>
          <w:sz w:val="22"/>
          <w:szCs w:val="22"/>
        </w:rPr>
        <w:t>The following table is taken from our taken for our annual EFPMS (Estates Facilities Performance Management System) submission for 2023</w:t>
      </w:r>
      <w:r>
        <w:rPr>
          <w:rFonts w:ascii="Verdana" w:hAnsi="Verdana"/>
          <w:noProof/>
          <w:sz w:val="22"/>
          <w:szCs w:val="22"/>
        </w:rPr>
        <w:t>/</w:t>
      </w:r>
      <w:r w:rsidRPr="00F81A81">
        <w:rPr>
          <w:rFonts w:ascii="Verdana" w:hAnsi="Verdana"/>
          <w:noProof/>
          <w:sz w:val="22"/>
          <w:szCs w:val="22"/>
        </w:rPr>
        <w:t xml:space="preserve">24 (most recently reported year) using the definitions </w:t>
      </w:r>
      <w:r w:rsidR="00744C4A">
        <w:rPr>
          <w:rFonts w:ascii="Verdana" w:hAnsi="Verdana"/>
          <w:noProof/>
          <w:sz w:val="22"/>
          <w:szCs w:val="22"/>
        </w:rPr>
        <w:t>above</w:t>
      </w:r>
      <w:r w:rsidRPr="00F81A81">
        <w:rPr>
          <w:rFonts w:ascii="Verdana" w:hAnsi="Verdana"/>
          <w:noProof/>
          <w:sz w:val="22"/>
          <w:szCs w:val="22"/>
        </w:rPr>
        <w:t>.</w:t>
      </w:r>
    </w:p>
    <w:p w14:paraId="2178A95B" w14:textId="6EBD826F" w:rsidR="00873328" w:rsidRDefault="00873328" w:rsidP="00421E7F">
      <w:pPr>
        <w:rPr>
          <w:rFonts w:ascii="Verdana" w:hAnsi="Verdana"/>
          <w:b/>
          <w:bCs/>
          <w:noProof/>
          <w:sz w:val="22"/>
          <w:szCs w:val="22"/>
        </w:rPr>
      </w:pPr>
    </w:p>
    <w:tbl>
      <w:tblPr>
        <w:tblW w:w="15900" w:type="dxa"/>
        <w:jc w:val="center"/>
        <w:tblCellMar>
          <w:left w:w="0" w:type="dxa"/>
          <w:right w:w="0" w:type="dxa"/>
        </w:tblCellMar>
        <w:tblLook w:val="04A0" w:firstRow="1" w:lastRow="0" w:firstColumn="1" w:lastColumn="0" w:noHBand="0" w:noVBand="1"/>
      </w:tblPr>
      <w:tblGrid>
        <w:gridCol w:w="2765"/>
        <w:gridCol w:w="681"/>
        <w:gridCol w:w="1746"/>
        <w:gridCol w:w="1371"/>
        <w:gridCol w:w="1602"/>
        <w:gridCol w:w="1611"/>
        <w:gridCol w:w="1616"/>
        <w:gridCol w:w="1394"/>
        <w:gridCol w:w="1539"/>
        <w:gridCol w:w="1575"/>
      </w:tblGrid>
      <w:tr w:rsidR="00F81A81" w:rsidRPr="00F81A81" w14:paraId="4653B512" w14:textId="77777777" w:rsidTr="004143D2">
        <w:trPr>
          <w:trHeight w:val="972"/>
          <w:jc w:val="center"/>
        </w:trPr>
        <w:tc>
          <w:tcPr>
            <w:tcW w:w="2765" w:type="dxa"/>
            <w:tcBorders>
              <w:top w:val="single" w:sz="8" w:space="0" w:color="D3D3D3"/>
              <w:left w:val="single" w:sz="8" w:space="0" w:color="D3D3D3"/>
              <w:right w:val="single" w:sz="8" w:space="0" w:color="D3D3D3"/>
            </w:tcBorders>
            <w:shd w:val="clear" w:color="auto" w:fill="D2D3D3"/>
            <w:tcMar>
              <w:top w:w="0" w:type="dxa"/>
              <w:left w:w="108" w:type="dxa"/>
              <w:bottom w:w="0" w:type="dxa"/>
              <w:right w:w="108" w:type="dxa"/>
            </w:tcMar>
            <w:vAlign w:val="center"/>
            <w:hideMark/>
          </w:tcPr>
          <w:p w14:paraId="5AE9FC17" w14:textId="6A9B4746" w:rsidR="00F81A81" w:rsidRPr="00F81A81" w:rsidRDefault="00F81A81" w:rsidP="00F81A81">
            <w:pPr>
              <w:spacing w:before="0" w:after="0" w:line="240" w:lineRule="auto"/>
              <w:ind w:left="0" w:right="0"/>
              <w:jc w:val="center"/>
              <w:rPr>
                <w:rFonts w:ascii="Verdana" w:hAnsi="Verdana"/>
                <w:b/>
                <w:bCs/>
                <w:color w:val="000000"/>
                <w:sz w:val="20"/>
                <w:szCs w:val="20"/>
              </w:rPr>
            </w:pPr>
            <w:r w:rsidRPr="00F81A81">
              <w:rPr>
                <w:rFonts w:ascii="Verdana" w:hAnsi="Verdana"/>
                <w:b/>
                <w:bCs/>
                <w:color w:val="000000"/>
                <w:sz w:val="20"/>
                <w:szCs w:val="20"/>
              </w:rPr>
              <w:t>Quality of Buildings</w:t>
            </w:r>
          </w:p>
        </w:tc>
        <w:tc>
          <w:tcPr>
            <w:tcW w:w="681" w:type="dxa"/>
            <w:tcBorders>
              <w:top w:val="single" w:sz="8" w:space="0" w:color="D3D3D3"/>
              <w:left w:val="nil"/>
              <w:right w:val="single" w:sz="8" w:space="0" w:color="D3D3D3"/>
            </w:tcBorders>
            <w:shd w:val="clear" w:color="auto" w:fill="D2D3D3"/>
            <w:tcMar>
              <w:top w:w="0" w:type="dxa"/>
              <w:left w:w="108" w:type="dxa"/>
              <w:bottom w:w="0" w:type="dxa"/>
              <w:right w:w="108" w:type="dxa"/>
            </w:tcMar>
            <w:vAlign w:val="center"/>
            <w:hideMark/>
          </w:tcPr>
          <w:p w14:paraId="5D78DBDD" w14:textId="453738B1" w:rsidR="00F81A81" w:rsidRPr="00F81A81" w:rsidRDefault="00F81A81" w:rsidP="00F81A81">
            <w:pPr>
              <w:spacing w:before="0" w:after="0" w:line="240" w:lineRule="auto"/>
              <w:ind w:left="0" w:right="0"/>
              <w:jc w:val="center"/>
              <w:rPr>
                <w:rFonts w:ascii="Verdana" w:hAnsi="Verdana"/>
                <w:b/>
                <w:bCs/>
                <w:color w:val="000000"/>
                <w:sz w:val="20"/>
                <w:szCs w:val="20"/>
              </w:rPr>
            </w:pPr>
            <w:r w:rsidRPr="00F81A81">
              <w:rPr>
                <w:rFonts w:ascii="Verdana" w:hAnsi="Verdana"/>
                <w:b/>
                <w:bCs/>
                <w:color w:val="000000"/>
                <w:sz w:val="20"/>
                <w:szCs w:val="20"/>
              </w:rPr>
              <w:t>Unit</w:t>
            </w:r>
          </w:p>
        </w:tc>
        <w:tc>
          <w:tcPr>
            <w:tcW w:w="1746" w:type="dxa"/>
            <w:tcBorders>
              <w:top w:val="single" w:sz="8" w:space="0" w:color="D3D3D3"/>
              <w:left w:val="nil"/>
              <w:right w:val="single" w:sz="8" w:space="0" w:color="D3D3D3"/>
            </w:tcBorders>
            <w:shd w:val="clear" w:color="auto" w:fill="D2D3D3"/>
            <w:tcMar>
              <w:top w:w="0" w:type="dxa"/>
              <w:left w:w="108" w:type="dxa"/>
              <w:bottom w:w="0" w:type="dxa"/>
              <w:right w:w="108" w:type="dxa"/>
            </w:tcMar>
            <w:vAlign w:val="center"/>
            <w:hideMark/>
          </w:tcPr>
          <w:p w14:paraId="0097A181" w14:textId="3B6DD2EE" w:rsidR="00F81A81" w:rsidRPr="00F81A81" w:rsidRDefault="00F81A81" w:rsidP="00F81A81">
            <w:pPr>
              <w:spacing w:before="0" w:after="0" w:line="240" w:lineRule="auto"/>
              <w:ind w:left="0" w:right="0"/>
              <w:jc w:val="center"/>
              <w:rPr>
                <w:rFonts w:ascii="Verdana" w:hAnsi="Verdana"/>
                <w:b/>
                <w:bCs/>
                <w:color w:val="000000"/>
                <w:sz w:val="20"/>
                <w:szCs w:val="20"/>
              </w:rPr>
            </w:pPr>
            <w:r w:rsidRPr="00F81A81">
              <w:rPr>
                <w:rFonts w:ascii="Verdana" w:hAnsi="Verdana"/>
                <w:b/>
                <w:bCs/>
                <w:color w:val="000000"/>
                <w:sz w:val="20"/>
                <w:szCs w:val="20"/>
              </w:rPr>
              <w:t>AGGREGATED SITES</w:t>
            </w:r>
            <w:r w:rsidR="000E31AC">
              <w:rPr>
                <w:rFonts w:ascii="Verdana" w:hAnsi="Verdana"/>
                <w:b/>
                <w:bCs/>
                <w:color w:val="000000"/>
                <w:sz w:val="20"/>
                <w:szCs w:val="20"/>
              </w:rPr>
              <w:t xml:space="preserve"> *</w:t>
            </w:r>
          </w:p>
        </w:tc>
        <w:tc>
          <w:tcPr>
            <w:tcW w:w="1371" w:type="dxa"/>
            <w:tcBorders>
              <w:top w:val="single" w:sz="8" w:space="0" w:color="D3D3D3"/>
              <w:left w:val="nil"/>
              <w:right w:val="single" w:sz="8" w:space="0" w:color="D3D3D3"/>
            </w:tcBorders>
            <w:shd w:val="clear" w:color="auto" w:fill="D2D3D3"/>
            <w:tcMar>
              <w:top w:w="0" w:type="dxa"/>
              <w:left w:w="108" w:type="dxa"/>
              <w:bottom w:w="0" w:type="dxa"/>
              <w:right w:w="108" w:type="dxa"/>
            </w:tcMar>
            <w:vAlign w:val="center"/>
            <w:hideMark/>
          </w:tcPr>
          <w:p w14:paraId="541B7AC6" w14:textId="77777777" w:rsidR="00F81A81" w:rsidRPr="00F81A81" w:rsidRDefault="00F81A81" w:rsidP="00F81A81">
            <w:pPr>
              <w:spacing w:before="0" w:after="0" w:line="240" w:lineRule="auto"/>
              <w:ind w:left="0" w:right="0"/>
              <w:jc w:val="center"/>
              <w:rPr>
                <w:rFonts w:ascii="Verdana" w:hAnsi="Verdana"/>
                <w:b/>
                <w:bCs/>
                <w:color w:val="000000"/>
                <w:sz w:val="20"/>
                <w:szCs w:val="20"/>
              </w:rPr>
            </w:pPr>
            <w:r w:rsidRPr="00F81A81">
              <w:rPr>
                <w:rFonts w:ascii="Verdana" w:hAnsi="Verdana"/>
                <w:b/>
                <w:bCs/>
                <w:color w:val="000000"/>
                <w:sz w:val="20"/>
                <w:szCs w:val="20"/>
              </w:rPr>
              <w:t>CEFN COED HOSPITAL</w:t>
            </w:r>
          </w:p>
        </w:tc>
        <w:tc>
          <w:tcPr>
            <w:tcW w:w="1602" w:type="dxa"/>
            <w:tcBorders>
              <w:top w:val="single" w:sz="8" w:space="0" w:color="D3D3D3"/>
              <w:left w:val="nil"/>
              <w:right w:val="single" w:sz="8" w:space="0" w:color="D3D3D3"/>
            </w:tcBorders>
            <w:shd w:val="clear" w:color="auto" w:fill="D2D3D3"/>
            <w:tcMar>
              <w:top w:w="0" w:type="dxa"/>
              <w:left w:w="108" w:type="dxa"/>
              <w:bottom w:w="0" w:type="dxa"/>
              <w:right w:w="108" w:type="dxa"/>
            </w:tcMar>
            <w:vAlign w:val="center"/>
            <w:hideMark/>
          </w:tcPr>
          <w:p w14:paraId="3D41DE84" w14:textId="77777777" w:rsidR="00F81A81" w:rsidRPr="00F81A81" w:rsidRDefault="00F81A81" w:rsidP="00F81A81">
            <w:pPr>
              <w:spacing w:before="0" w:after="0" w:line="240" w:lineRule="auto"/>
              <w:ind w:left="0" w:right="0"/>
              <w:jc w:val="center"/>
              <w:rPr>
                <w:rFonts w:ascii="Verdana" w:hAnsi="Verdana"/>
                <w:b/>
                <w:bCs/>
                <w:color w:val="000000"/>
                <w:sz w:val="20"/>
                <w:szCs w:val="20"/>
              </w:rPr>
            </w:pPr>
            <w:r w:rsidRPr="00F81A81">
              <w:rPr>
                <w:rFonts w:ascii="Verdana" w:hAnsi="Verdana"/>
                <w:b/>
                <w:bCs/>
                <w:color w:val="000000"/>
                <w:sz w:val="20"/>
                <w:szCs w:val="20"/>
              </w:rPr>
              <w:t>GORSEINON HOSPITAL</w:t>
            </w:r>
          </w:p>
        </w:tc>
        <w:tc>
          <w:tcPr>
            <w:tcW w:w="1611" w:type="dxa"/>
            <w:tcBorders>
              <w:top w:val="single" w:sz="8" w:space="0" w:color="D3D3D3"/>
              <w:left w:val="nil"/>
              <w:right w:val="single" w:sz="8" w:space="0" w:color="D3D3D3"/>
            </w:tcBorders>
            <w:shd w:val="clear" w:color="auto" w:fill="D2D3D3"/>
            <w:tcMar>
              <w:top w:w="0" w:type="dxa"/>
              <w:left w:w="108" w:type="dxa"/>
              <w:bottom w:w="0" w:type="dxa"/>
              <w:right w:w="108" w:type="dxa"/>
            </w:tcMar>
            <w:vAlign w:val="center"/>
            <w:hideMark/>
          </w:tcPr>
          <w:p w14:paraId="23023211" w14:textId="77777777" w:rsidR="00F81A81" w:rsidRPr="00F81A81" w:rsidRDefault="00F81A81" w:rsidP="00F81A81">
            <w:pPr>
              <w:spacing w:before="0" w:after="0" w:line="240" w:lineRule="auto"/>
              <w:ind w:left="0" w:right="0"/>
              <w:jc w:val="center"/>
              <w:rPr>
                <w:rFonts w:ascii="Verdana" w:hAnsi="Verdana"/>
                <w:b/>
                <w:bCs/>
                <w:color w:val="000000"/>
                <w:sz w:val="20"/>
                <w:szCs w:val="20"/>
              </w:rPr>
            </w:pPr>
            <w:r w:rsidRPr="00F81A81">
              <w:rPr>
                <w:rFonts w:ascii="Verdana" w:hAnsi="Verdana"/>
                <w:b/>
                <w:bCs/>
                <w:color w:val="000000"/>
                <w:sz w:val="20"/>
                <w:szCs w:val="20"/>
              </w:rPr>
              <w:t>LLWYNERYR HOSPITAL</w:t>
            </w:r>
          </w:p>
        </w:tc>
        <w:tc>
          <w:tcPr>
            <w:tcW w:w="1616" w:type="dxa"/>
            <w:tcBorders>
              <w:top w:val="single" w:sz="8" w:space="0" w:color="D3D3D3"/>
              <w:left w:val="nil"/>
              <w:right w:val="single" w:sz="8" w:space="0" w:color="D3D3D3"/>
            </w:tcBorders>
            <w:shd w:val="clear" w:color="auto" w:fill="D2D3D3"/>
            <w:tcMar>
              <w:top w:w="0" w:type="dxa"/>
              <w:left w:w="108" w:type="dxa"/>
              <w:bottom w:w="0" w:type="dxa"/>
              <w:right w:w="108" w:type="dxa"/>
            </w:tcMar>
            <w:vAlign w:val="center"/>
            <w:hideMark/>
          </w:tcPr>
          <w:p w14:paraId="26476DED" w14:textId="77777777" w:rsidR="00F81A81" w:rsidRPr="00F81A81" w:rsidRDefault="00F81A81" w:rsidP="00F81A81">
            <w:pPr>
              <w:spacing w:before="0" w:after="0" w:line="240" w:lineRule="auto"/>
              <w:ind w:left="0" w:right="0"/>
              <w:jc w:val="center"/>
              <w:rPr>
                <w:rFonts w:ascii="Verdana" w:hAnsi="Verdana"/>
                <w:b/>
                <w:bCs/>
                <w:color w:val="000000"/>
                <w:sz w:val="20"/>
                <w:szCs w:val="20"/>
              </w:rPr>
            </w:pPr>
            <w:r w:rsidRPr="00F81A81">
              <w:rPr>
                <w:rFonts w:ascii="Verdana" w:hAnsi="Verdana"/>
                <w:b/>
                <w:bCs/>
                <w:color w:val="000000"/>
                <w:sz w:val="20"/>
                <w:szCs w:val="20"/>
              </w:rPr>
              <w:t>MORRISTON HOSPITAL</w:t>
            </w:r>
          </w:p>
        </w:tc>
        <w:tc>
          <w:tcPr>
            <w:tcW w:w="1394" w:type="dxa"/>
            <w:tcBorders>
              <w:top w:val="single" w:sz="8" w:space="0" w:color="D3D3D3"/>
              <w:left w:val="nil"/>
              <w:right w:val="single" w:sz="8" w:space="0" w:color="D3D3D3"/>
            </w:tcBorders>
            <w:shd w:val="clear" w:color="auto" w:fill="D2D3D3"/>
            <w:tcMar>
              <w:top w:w="0" w:type="dxa"/>
              <w:left w:w="108" w:type="dxa"/>
              <w:bottom w:w="0" w:type="dxa"/>
              <w:right w:w="108" w:type="dxa"/>
            </w:tcMar>
            <w:vAlign w:val="center"/>
            <w:hideMark/>
          </w:tcPr>
          <w:p w14:paraId="1D50D5F8" w14:textId="77777777" w:rsidR="00F81A81" w:rsidRPr="00F81A81" w:rsidRDefault="00F81A81" w:rsidP="00F81A81">
            <w:pPr>
              <w:spacing w:before="0" w:after="0" w:line="240" w:lineRule="auto"/>
              <w:ind w:left="0" w:right="0"/>
              <w:jc w:val="center"/>
              <w:rPr>
                <w:rFonts w:ascii="Verdana" w:hAnsi="Verdana"/>
                <w:b/>
                <w:bCs/>
                <w:color w:val="000000"/>
                <w:sz w:val="20"/>
                <w:szCs w:val="20"/>
              </w:rPr>
            </w:pPr>
            <w:r w:rsidRPr="00F81A81">
              <w:rPr>
                <w:rFonts w:ascii="Verdana" w:hAnsi="Verdana"/>
                <w:b/>
                <w:bCs/>
                <w:color w:val="000000"/>
                <w:sz w:val="20"/>
                <w:szCs w:val="20"/>
              </w:rPr>
              <w:t>NEATH PORT TALBOT HOSPITAL</w:t>
            </w:r>
          </w:p>
        </w:tc>
        <w:tc>
          <w:tcPr>
            <w:tcW w:w="1539" w:type="dxa"/>
            <w:tcBorders>
              <w:top w:val="single" w:sz="8" w:space="0" w:color="D3D3D3"/>
              <w:left w:val="nil"/>
              <w:right w:val="single" w:sz="8" w:space="0" w:color="D3D3D3"/>
            </w:tcBorders>
            <w:shd w:val="clear" w:color="auto" w:fill="D2D3D3"/>
            <w:tcMar>
              <w:top w:w="0" w:type="dxa"/>
              <w:left w:w="108" w:type="dxa"/>
              <w:bottom w:w="0" w:type="dxa"/>
              <w:right w:w="108" w:type="dxa"/>
            </w:tcMar>
            <w:vAlign w:val="center"/>
            <w:hideMark/>
          </w:tcPr>
          <w:p w14:paraId="412D5FC3" w14:textId="77777777" w:rsidR="00F81A81" w:rsidRPr="00F81A81" w:rsidRDefault="00F81A81" w:rsidP="00F81A81">
            <w:pPr>
              <w:spacing w:before="0" w:after="0" w:line="240" w:lineRule="auto"/>
              <w:ind w:left="0" w:right="0"/>
              <w:jc w:val="center"/>
              <w:rPr>
                <w:rFonts w:ascii="Verdana" w:hAnsi="Verdana"/>
                <w:b/>
                <w:bCs/>
                <w:color w:val="000000"/>
                <w:sz w:val="20"/>
                <w:szCs w:val="20"/>
              </w:rPr>
            </w:pPr>
            <w:r w:rsidRPr="00F81A81">
              <w:rPr>
                <w:rFonts w:ascii="Verdana" w:hAnsi="Verdana"/>
                <w:b/>
                <w:bCs/>
                <w:color w:val="000000"/>
                <w:sz w:val="20"/>
                <w:szCs w:val="20"/>
              </w:rPr>
              <w:t>SINGLETON HOSPITAL</w:t>
            </w:r>
          </w:p>
        </w:tc>
        <w:tc>
          <w:tcPr>
            <w:tcW w:w="1575" w:type="dxa"/>
            <w:tcBorders>
              <w:top w:val="single" w:sz="8" w:space="0" w:color="D3D3D3"/>
              <w:left w:val="nil"/>
              <w:right w:val="single" w:sz="8" w:space="0" w:color="D3D3D3"/>
            </w:tcBorders>
            <w:shd w:val="clear" w:color="auto" w:fill="D2D3D3"/>
            <w:tcMar>
              <w:top w:w="0" w:type="dxa"/>
              <w:left w:w="108" w:type="dxa"/>
              <w:bottom w:w="0" w:type="dxa"/>
              <w:right w:w="108" w:type="dxa"/>
            </w:tcMar>
            <w:vAlign w:val="center"/>
            <w:hideMark/>
          </w:tcPr>
          <w:p w14:paraId="04BF9F6C" w14:textId="77777777" w:rsidR="00F81A81" w:rsidRPr="00F81A81" w:rsidRDefault="00F81A81" w:rsidP="00F81A81">
            <w:pPr>
              <w:spacing w:before="0" w:after="0" w:line="240" w:lineRule="auto"/>
              <w:ind w:left="0" w:right="0"/>
              <w:jc w:val="center"/>
              <w:rPr>
                <w:rFonts w:ascii="Verdana" w:hAnsi="Verdana"/>
                <w:b/>
                <w:bCs/>
                <w:color w:val="000000"/>
                <w:sz w:val="20"/>
                <w:szCs w:val="20"/>
              </w:rPr>
            </w:pPr>
            <w:r w:rsidRPr="00F81A81">
              <w:rPr>
                <w:rFonts w:ascii="Verdana" w:hAnsi="Verdana"/>
                <w:b/>
                <w:bCs/>
                <w:color w:val="000000"/>
                <w:sz w:val="20"/>
                <w:szCs w:val="20"/>
              </w:rPr>
              <w:t>TONNA HOSPITAL</w:t>
            </w:r>
          </w:p>
        </w:tc>
      </w:tr>
      <w:tr w:rsidR="00F81A81" w:rsidRPr="00F81A81" w14:paraId="4C33D116" w14:textId="77777777" w:rsidTr="00F81A81">
        <w:trPr>
          <w:trHeight w:val="300"/>
          <w:jc w:val="center"/>
        </w:trPr>
        <w:tc>
          <w:tcPr>
            <w:tcW w:w="2765" w:type="dxa"/>
            <w:tcBorders>
              <w:top w:val="nil"/>
              <w:left w:val="single" w:sz="8" w:space="0" w:color="D3D3D3"/>
              <w:bottom w:val="single" w:sz="8" w:space="0" w:color="D3D3D3"/>
              <w:right w:val="single" w:sz="8" w:space="0" w:color="D3D3D3"/>
            </w:tcBorders>
            <w:tcMar>
              <w:top w:w="0" w:type="dxa"/>
              <w:left w:w="108" w:type="dxa"/>
              <w:bottom w:w="0" w:type="dxa"/>
              <w:right w:w="108" w:type="dxa"/>
            </w:tcMar>
            <w:vAlign w:val="center"/>
            <w:hideMark/>
          </w:tcPr>
          <w:p w14:paraId="40B0F541"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Cost to eradicate High Risk Backlog</w:t>
            </w:r>
          </w:p>
        </w:tc>
        <w:tc>
          <w:tcPr>
            <w:tcW w:w="68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5FBD893E"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w:t>
            </w:r>
          </w:p>
        </w:tc>
        <w:tc>
          <w:tcPr>
            <w:tcW w:w="174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0546E612"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209,047</w:t>
            </w:r>
          </w:p>
        </w:tc>
        <w:tc>
          <w:tcPr>
            <w:tcW w:w="137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0BF4EC27"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0</w:t>
            </w:r>
          </w:p>
        </w:tc>
        <w:tc>
          <w:tcPr>
            <w:tcW w:w="1602"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4E143CB4"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116,500</w:t>
            </w:r>
          </w:p>
        </w:tc>
        <w:tc>
          <w:tcPr>
            <w:tcW w:w="161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7969A97E"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0</w:t>
            </w:r>
          </w:p>
        </w:tc>
        <w:tc>
          <w:tcPr>
            <w:tcW w:w="161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65983A63"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6,755,918</w:t>
            </w:r>
          </w:p>
        </w:tc>
        <w:tc>
          <w:tcPr>
            <w:tcW w:w="1394"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1C04CC4C"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0</w:t>
            </w:r>
          </w:p>
        </w:tc>
        <w:tc>
          <w:tcPr>
            <w:tcW w:w="1539"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7F1E3B66"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3,240,705</w:t>
            </w:r>
          </w:p>
        </w:tc>
        <w:tc>
          <w:tcPr>
            <w:tcW w:w="1575"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45D9B64F"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23,000</w:t>
            </w:r>
          </w:p>
        </w:tc>
      </w:tr>
      <w:tr w:rsidR="00F81A81" w:rsidRPr="00F81A81" w14:paraId="278CACEE" w14:textId="77777777" w:rsidTr="00F81A81">
        <w:trPr>
          <w:trHeight w:val="300"/>
          <w:jc w:val="center"/>
        </w:trPr>
        <w:tc>
          <w:tcPr>
            <w:tcW w:w="2765" w:type="dxa"/>
            <w:tcBorders>
              <w:top w:val="nil"/>
              <w:left w:val="single" w:sz="8" w:space="0" w:color="D3D3D3"/>
              <w:bottom w:val="single" w:sz="8" w:space="0" w:color="D3D3D3"/>
              <w:right w:val="single" w:sz="8" w:space="0" w:color="D3D3D3"/>
            </w:tcBorders>
            <w:tcMar>
              <w:top w:w="0" w:type="dxa"/>
              <w:left w:w="108" w:type="dxa"/>
              <w:bottom w:w="0" w:type="dxa"/>
              <w:right w:w="108" w:type="dxa"/>
            </w:tcMar>
            <w:vAlign w:val="center"/>
            <w:hideMark/>
          </w:tcPr>
          <w:p w14:paraId="7AE91168"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Cost to eradicate Significant Risk Backlog</w:t>
            </w:r>
          </w:p>
        </w:tc>
        <w:tc>
          <w:tcPr>
            <w:tcW w:w="68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5A4DA982"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w:t>
            </w:r>
          </w:p>
        </w:tc>
        <w:tc>
          <w:tcPr>
            <w:tcW w:w="174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706CBB43"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2,100,183</w:t>
            </w:r>
          </w:p>
        </w:tc>
        <w:tc>
          <w:tcPr>
            <w:tcW w:w="137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1658EDC8"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3,062,712</w:t>
            </w:r>
          </w:p>
        </w:tc>
        <w:tc>
          <w:tcPr>
            <w:tcW w:w="1602"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6CA6CF9F"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2,424,600</w:t>
            </w:r>
          </w:p>
        </w:tc>
        <w:tc>
          <w:tcPr>
            <w:tcW w:w="161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5677E8EB"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2,598</w:t>
            </w:r>
          </w:p>
        </w:tc>
        <w:tc>
          <w:tcPr>
            <w:tcW w:w="161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512F5769"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19,601,587</w:t>
            </w:r>
          </w:p>
        </w:tc>
        <w:tc>
          <w:tcPr>
            <w:tcW w:w="1394"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20394165"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193,722</w:t>
            </w:r>
          </w:p>
        </w:tc>
        <w:tc>
          <w:tcPr>
            <w:tcW w:w="1539"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4F8E88E5"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26,044,216</w:t>
            </w:r>
          </w:p>
        </w:tc>
        <w:tc>
          <w:tcPr>
            <w:tcW w:w="1575"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2A26A4CA"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4,802,270</w:t>
            </w:r>
          </w:p>
        </w:tc>
      </w:tr>
      <w:tr w:rsidR="00F81A81" w:rsidRPr="00F81A81" w14:paraId="37D8B6F0" w14:textId="77777777" w:rsidTr="00F81A81">
        <w:trPr>
          <w:trHeight w:val="300"/>
          <w:jc w:val="center"/>
        </w:trPr>
        <w:tc>
          <w:tcPr>
            <w:tcW w:w="2765" w:type="dxa"/>
            <w:tcBorders>
              <w:top w:val="nil"/>
              <w:left w:val="single" w:sz="8" w:space="0" w:color="D3D3D3"/>
              <w:bottom w:val="single" w:sz="8" w:space="0" w:color="D3D3D3"/>
              <w:right w:val="single" w:sz="8" w:space="0" w:color="D3D3D3"/>
            </w:tcBorders>
            <w:tcMar>
              <w:top w:w="0" w:type="dxa"/>
              <w:left w:w="108" w:type="dxa"/>
              <w:bottom w:w="0" w:type="dxa"/>
              <w:right w:w="108" w:type="dxa"/>
            </w:tcMar>
            <w:vAlign w:val="center"/>
            <w:hideMark/>
          </w:tcPr>
          <w:p w14:paraId="5AD2EE3E"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Cost to eradicate Moderate Risk Backlog</w:t>
            </w:r>
          </w:p>
        </w:tc>
        <w:tc>
          <w:tcPr>
            <w:tcW w:w="68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690A9ACF"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w:t>
            </w:r>
          </w:p>
        </w:tc>
        <w:tc>
          <w:tcPr>
            <w:tcW w:w="174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56E1F2AE"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927,744</w:t>
            </w:r>
          </w:p>
        </w:tc>
        <w:tc>
          <w:tcPr>
            <w:tcW w:w="137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3527E43D"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2,747,324</w:t>
            </w:r>
          </w:p>
        </w:tc>
        <w:tc>
          <w:tcPr>
            <w:tcW w:w="1602"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566BC8A2"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1,882,000</w:t>
            </w:r>
          </w:p>
        </w:tc>
        <w:tc>
          <w:tcPr>
            <w:tcW w:w="161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7FFCCBD6"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1,039</w:t>
            </w:r>
          </w:p>
        </w:tc>
        <w:tc>
          <w:tcPr>
            <w:tcW w:w="161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2024BA8B"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14,832,642</w:t>
            </w:r>
          </w:p>
        </w:tc>
        <w:tc>
          <w:tcPr>
            <w:tcW w:w="1394"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3C152C41"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192,215</w:t>
            </w:r>
          </w:p>
        </w:tc>
        <w:tc>
          <w:tcPr>
            <w:tcW w:w="1539"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134F9794"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20,322,228</w:t>
            </w:r>
          </w:p>
        </w:tc>
        <w:tc>
          <w:tcPr>
            <w:tcW w:w="1575"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6F76B3B2"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73,750</w:t>
            </w:r>
          </w:p>
        </w:tc>
      </w:tr>
      <w:tr w:rsidR="00F81A81" w:rsidRPr="00F81A81" w14:paraId="0D026130" w14:textId="77777777" w:rsidTr="00F81A81">
        <w:trPr>
          <w:trHeight w:val="300"/>
          <w:jc w:val="center"/>
        </w:trPr>
        <w:tc>
          <w:tcPr>
            <w:tcW w:w="2765" w:type="dxa"/>
            <w:tcBorders>
              <w:top w:val="nil"/>
              <w:left w:val="single" w:sz="8" w:space="0" w:color="D3D3D3"/>
              <w:bottom w:val="single" w:sz="8" w:space="0" w:color="D3D3D3"/>
              <w:right w:val="single" w:sz="8" w:space="0" w:color="D3D3D3"/>
            </w:tcBorders>
            <w:tcMar>
              <w:top w:w="0" w:type="dxa"/>
              <w:left w:w="108" w:type="dxa"/>
              <w:bottom w:w="0" w:type="dxa"/>
              <w:right w:w="108" w:type="dxa"/>
            </w:tcMar>
            <w:vAlign w:val="center"/>
            <w:hideMark/>
          </w:tcPr>
          <w:p w14:paraId="0FEEF805"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Cost to eradicate Low Risk Backlog</w:t>
            </w:r>
          </w:p>
        </w:tc>
        <w:tc>
          <w:tcPr>
            <w:tcW w:w="68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5DADA1B2"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w:t>
            </w:r>
          </w:p>
        </w:tc>
        <w:tc>
          <w:tcPr>
            <w:tcW w:w="174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6921073F"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151,382</w:t>
            </w:r>
          </w:p>
        </w:tc>
        <w:tc>
          <w:tcPr>
            <w:tcW w:w="137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331FF712"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47,482</w:t>
            </w:r>
          </w:p>
        </w:tc>
        <w:tc>
          <w:tcPr>
            <w:tcW w:w="1602"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6C5638B1"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33,000</w:t>
            </w:r>
          </w:p>
        </w:tc>
        <w:tc>
          <w:tcPr>
            <w:tcW w:w="161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42C9BF42"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0</w:t>
            </w:r>
          </w:p>
        </w:tc>
        <w:tc>
          <w:tcPr>
            <w:tcW w:w="161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50BB229D"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478,232</w:t>
            </w:r>
          </w:p>
        </w:tc>
        <w:tc>
          <w:tcPr>
            <w:tcW w:w="1394"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362BC07F"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96,211</w:t>
            </w:r>
          </w:p>
        </w:tc>
        <w:tc>
          <w:tcPr>
            <w:tcW w:w="1539"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47848B59"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766,392</w:t>
            </w:r>
          </w:p>
        </w:tc>
        <w:tc>
          <w:tcPr>
            <w:tcW w:w="1575"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42E2AC8C"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93,000</w:t>
            </w:r>
          </w:p>
        </w:tc>
      </w:tr>
      <w:tr w:rsidR="00F81A81" w:rsidRPr="00F81A81" w14:paraId="24A17806" w14:textId="77777777" w:rsidTr="00F81A81">
        <w:trPr>
          <w:trHeight w:val="300"/>
          <w:jc w:val="center"/>
        </w:trPr>
        <w:tc>
          <w:tcPr>
            <w:tcW w:w="2765" w:type="dxa"/>
            <w:tcBorders>
              <w:top w:val="nil"/>
              <w:left w:val="single" w:sz="8" w:space="0" w:color="D3D3D3"/>
              <w:bottom w:val="single" w:sz="8" w:space="0" w:color="D3D3D3"/>
              <w:right w:val="single" w:sz="8" w:space="0" w:color="D3D3D3"/>
            </w:tcBorders>
            <w:tcMar>
              <w:top w:w="0" w:type="dxa"/>
              <w:left w:w="108" w:type="dxa"/>
              <w:bottom w:w="0" w:type="dxa"/>
              <w:right w:w="108" w:type="dxa"/>
            </w:tcMar>
            <w:vAlign w:val="center"/>
            <w:hideMark/>
          </w:tcPr>
          <w:p w14:paraId="2F571840"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Cost to eradicate Risk Adjusted Backlog</w:t>
            </w:r>
          </w:p>
        </w:tc>
        <w:tc>
          <w:tcPr>
            <w:tcW w:w="68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3B4A105D"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w:t>
            </w:r>
          </w:p>
        </w:tc>
        <w:tc>
          <w:tcPr>
            <w:tcW w:w="174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236293B5"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2,332,513</w:t>
            </w:r>
          </w:p>
        </w:tc>
        <w:tc>
          <w:tcPr>
            <w:tcW w:w="137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17C94B04"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3,237,516</w:t>
            </w:r>
          </w:p>
        </w:tc>
        <w:tc>
          <w:tcPr>
            <w:tcW w:w="1602"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204F9E24"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2,622,407</w:t>
            </w:r>
          </w:p>
        </w:tc>
        <w:tc>
          <w:tcPr>
            <w:tcW w:w="161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29727BB5"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2,615</w:t>
            </w:r>
          </w:p>
        </w:tc>
        <w:tc>
          <w:tcPr>
            <w:tcW w:w="161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2800A42D"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26,658,243</w:t>
            </w:r>
          </w:p>
        </w:tc>
        <w:tc>
          <w:tcPr>
            <w:tcW w:w="1394"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3BA70885"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198,625</w:t>
            </w:r>
          </w:p>
        </w:tc>
        <w:tc>
          <w:tcPr>
            <w:tcW w:w="1539"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11FEBCAC"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29,934,600</w:t>
            </w:r>
          </w:p>
        </w:tc>
        <w:tc>
          <w:tcPr>
            <w:tcW w:w="1575"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7498CA9A"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4,831,826</w:t>
            </w:r>
          </w:p>
        </w:tc>
      </w:tr>
      <w:tr w:rsidR="00F81A81" w:rsidRPr="00F81A81" w14:paraId="565236B2" w14:textId="77777777" w:rsidTr="00F81A81">
        <w:trPr>
          <w:trHeight w:val="300"/>
          <w:jc w:val="center"/>
        </w:trPr>
        <w:tc>
          <w:tcPr>
            <w:tcW w:w="2765" w:type="dxa"/>
            <w:tcBorders>
              <w:top w:val="nil"/>
              <w:left w:val="single" w:sz="8" w:space="0" w:color="D3D3D3"/>
              <w:bottom w:val="single" w:sz="8" w:space="0" w:color="D3D3D3"/>
              <w:right w:val="single" w:sz="8" w:space="0" w:color="D3D3D3"/>
            </w:tcBorders>
            <w:tcMar>
              <w:top w:w="0" w:type="dxa"/>
              <w:left w:w="108" w:type="dxa"/>
              <w:bottom w:w="0" w:type="dxa"/>
              <w:right w:w="108" w:type="dxa"/>
            </w:tcMar>
            <w:vAlign w:val="center"/>
            <w:hideMark/>
          </w:tcPr>
          <w:p w14:paraId="61863E3E"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Cost to achieve Physical Condition B</w:t>
            </w:r>
          </w:p>
        </w:tc>
        <w:tc>
          <w:tcPr>
            <w:tcW w:w="68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760EB5F9"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w:t>
            </w:r>
          </w:p>
        </w:tc>
        <w:tc>
          <w:tcPr>
            <w:tcW w:w="174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2D680F6A"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5,725,747</w:t>
            </w:r>
          </w:p>
        </w:tc>
        <w:tc>
          <w:tcPr>
            <w:tcW w:w="137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0C241606"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6,770,747</w:t>
            </w:r>
          </w:p>
        </w:tc>
        <w:tc>
          <w:tcPr>
            <w:tcW w:w="1602"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5F6DA6B7"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4,711,600</w:t>
            </w:r>
          </w:p>
        </w:tc>
        <w:tc>
          <w:tcPr>
            <w:tcW w:w="1611"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0CA19FB6"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53,508</w:t>
            </w:r>
          </w:p>
        </w:tc>
        <w:tc>
          <w:tcPr>
            <w:tcW w:w="1616"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2F78CBCE"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58,819,731</w:t>
            </w:r>
          </w:p>
        </w:tc>
        <w:tc>
          <w:tcPr>
            <w:tcW w:w="1394"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482F6AA3"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1,096,716</w:t>
            </w:r>
          </w:p>
        </w:tc>
        <w:tc>
          <w:tcPr>
            <w:tcW w:w="1539"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5E1AD005"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57,051,610</w:t>
            </w:r>
          </w:p>
        </w:tc>
        <w:tc>
          <w:tcPr>
            <w:tcW w:w="1575" w:type="dxa"/>
            <w:tcBorders>
              <w:top w:val="nil"/>
              <w:left w:val="nil"/>
              <w:bottom w:val="single" w:sz="8" w:space="0" w:color="D3D3D3"/>
              <w:right w:val="single" w:sz="8" w:space="0" w:color="D3D3D3"/>
            </w:tcBorders>
            <w:tcMar>
              <w:top w:w="0" w:type="dxa"/>
              <w:left w:w="108" w:type="dxa"/>
              <w:bottom w:w="0" w:type="dxa"/>
              <w:right w:w="108" w:type="dxa"/>
            </w:tcMar>
            <w:vAlign w:val="center"/>
            <w:hideMark/>
          </w:tcPr>
          <w:p w14:paraId="45AB43BB" w14:textId="77777777" w:rsidR="00F81A81" w:rsidRPr="00F81A81" w:rsidRDefault="00F81A81" w:rsidP="00F81A81">
            <w:pPr>
              <w:spacing w:before="0" w:after="0" w:line="240" w:lineRule="auto"/>
              <w:ind w:left="0" w:right="0"/>
              <w:jc w:val="center"/>
              <w:rPr>
                <w:rFonts w:ascii="Verdana" w:hAnsi="Verdana"/>
                <w:color w:val="000000"/>
                <w:sz w:val="20"/>
                <w:szCs w:val="20"/>
              </w:rPr>
            </w:pPr>
            <w:r w:rsidRPr="00F81A81">
              <w:rPr>
                <w:rFonts w:ascii="Verdana" w:hAnsi="Verdana"/>
                <w:color w:val="000000"/>
                <w:sz w:val="20"/>
                <w:szCs w:val="20"/>
              </w:rPr>
              <w:t>5,295,020</w:t>
            </w:r>
          </w:p>
        </w:tc>
      </w:tr>
    </w:tbl>
    <w:p w14:paraId="6644CEA6" w14:textId="3DABDC55" w:rsidR="004F001A" w:rsidRPr="00744C4A" w:rsidRDefault="000E31AC" w:rsidP="00744C4A">
      <w:pPr>
        <w:jc w:val="center"/>
        <w:rPr>
          <w:rFonts w:ascii="Verdana" w:hAnsi="Verdana"/>
          <w:noProof/>
          <w:sz w:val="20"/>
          <w:szCs w:val="20"/>
        </w:rPr>
      </w:pPr>
      <w:r w:rsidRPr="000E31AC">
        <w:rPr>
          <w:rFonts w:ascii="Verdana" w:hAnsi="Verdana"/>
          <w:noProof/>
          <w:sz w:val="20"/>
          <w:szCs w:val="20"/>
        </w:rPr>
        <w:t>*</w:t>
      </w:r>
      <w:r w:rsidRPr="000E31AC">
        <w:rPr>
          <w:sz w:val="22"/>
          <w:szCs w:val="22"/>
        </w:rPr>
        <w:t xml:space="preserve"> </w:t>
      </w:r>
      <w:r w:rsidRPr="000E31AC">
        <w:rPr>
          <w:rFonts w:ascii="Verdana" w:hAnsi="Verdana"/>
          <w:noProof/>
          <w:sz w:val="20"/>
          <w:szCs w:val="20"/>
        </w:rPr>
        <w:t>Community sites (Health Centres/Clinics/offices etc) that are maintained by the Estates Department</w:t>
      </w:r>
      <w:r w:rsidR="00421E7F">
        <w:rPr>
          <w:rFonts w:ascii="Verdana" w:hAnsi="Verdana"/>
          <w:b/>
          <w:bCs/>
          <w:noProof/>
          <w:sz w:val="22"/>
          <w:szCs w:val="22"/>
        </w:rPr>
        <w:br/>
        <w:t>_____________________________________________________________</w:t>
      </w:r>
      <w:r w:rsidR="00744C4A">
        <w:rPr>
          <w:rFonts w:ascii="Verdana" w:hAnsi="Verdana"/>
          <w:b/>
          <w:bCs/>
          <w:noProof/>
          <w:sz w:val="22"/>
          <w:szCs w:val="22"/>
        </w:rPr>
        <w:t>_______________________________</w:t>
      </w:r>
    </w:p>
    <w:sectPr w:rsidR="004F001A" w:rsidRPr="00744C4A" w:rsidSect="00F81A81">
      <w:footerReference w:type="default" r:id="rId8"/>
      <w:headerReference w:type="first" r:id="rId9"/>
      <w:footerReference w:type="first" r:id="rId10"/>
      <w:pgSz w:w="16838" w:h="11906" w:orient="landscape"/>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68CB5F1F" w:rsidR="0097092D" w:rsidRDefault="00F81A81"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745004EC">
              <wp:simplePos x="0" y="0"/>
              <wp:positionH relativeFrom="page">
                <wp:posOffset>7124700</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561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4F001A">
      <w:rPr>
        <w:noProof/>
      </w:rPr>
      <w:drawing>
        <wp:anchor distT="0" distB="0" distL="114300" distR="114300" simplePos="0" relativeHeight="251659264" behindDoc="1" locked="0" layoutInCell="1" allowOverlap="1" wp14:anchorId="6526706D" wp14:editId="52097CB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94F13D6"/>
    <w:multiLevelType w:val="hybridMultilevel"/>
    <w:tmpl w:val="724E9176"/>
    <w:lvl w:ilvl="0" w:tplc="5718912C">
      <w:numFmt w:val="bullet"/>
      <w:lvlText w:val="-"/>
      <w:lvlJc w:val="left"/>
      <w:pPr>
        <w:ind w:left="137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83D3B94"/>
    <w:multiLevelType w:val="hybridMultilevel"/>
    <w:tmpl w:val="9D4AA804"/>
    <w:lvl w:ilvl="0" w:tplc="7968F52C">
      <w:numFmt w:val="bullet"/>
      <w:lvlText w:val="•"/>
      <w:lvlJc w:val="left"/>
      <w:pPr>
        <w:ind w:left="1370" w:hanging="360"/>
      </w:pPr>
      <w:rPr>
        <w:rFonts w:ascii="Verdana" w:eastAsia="Calibri" w:hAnsi="Verdana"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9"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1"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4CF47262"/>
    <w:multiLevelType w:val="hybridMultilevel"/>
    <w:tmpl w:val="36921110"/>
    <w:lvl w:ilvl="0" w:tplc="7968F52C">
      <w:numFmt w:val="bullet"/>
      <w:lvlText w:val="•"/>
      <w:lvlJc w:val="left"/>
      <w:pPr>
        <w:ind w:left="1440" w:hanging="360"/>
      </w:pPr>
      <w:rPr>
        <w:rFonts w:ascii="Verdana" w:eastAsia="Calibri" w:hAnsi="Verdana" w:cs="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5426705A"/>
    <w:multiLevelType w:val="hybridMultilevel"/>
    <w:tmpl w:val="F68A9FC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7"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F4320F9"/>
    <w:multiLevelType w:val="hybridMultilevel"/>
    <w:tmpl w:val="DE1088B6"/>
    <w:lvl w:ilvl="0" w:tplc="5718912C">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2"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7"/>
  </w:num>
  <w:num w:numId="2">
    <w:abstractNumId w:val="0"/>
  </w:num>
  <w:num w:numId="3">
    <w:abstractNumId w:val="10"/>
  </w:num>
  <w:num w:numId="4">
    <w:abstractNumId w:val="19"/>
  </w:num>
  <w:num w:numId="5">
    <w:abstractNumId w:val="5"/>
  </w:num>
  <w:num w:numId="6">
    <w:abstractNumId w:val="3"/>
  </w:num>
  <w:num w:numId="7">
    <w:abstractNumId w:val="13"/>
  </w:num>
  <w:num w:numId="8">
    <w:abstractNumId w:val="18"/>
  </w:num>
  <w:num w:numId="9">
    <w:abstractNumId w:val="22"/>
  </w:num>
  <w:num w:numId="10">
    <w:abstractNumId w:val="1"/>
  </w:num>
  <w:num w:numId="11">
    <w:abstractNumId w:val="11"/>
  </w:num>
  <w:num w:numId="12">
    <w:abstractNumId w:val="15"/>
  </w:num>
  <w:num w:numId="13">
    <w:abstractNumId w:val="20"/>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6"/>
  </w:num>
  <w:num w:numId="18">
    <w:abstractNumId w:val="2"/>
  </w:num>
  <w:num w:numId="19">
    <w:abstractNumId w:val="16"/>
  </w:num>
  <w:num w:numId="20">
    <w:abstractNumId w:val="21"/>
  </w:num>
  <w:num w:numId="21">
    <w:abstractNumId w:val="4"/>
  </w:num>
  <w:num w:numId="22">
    <w:abstractNumId w:val="12"/>
  </w:num>
  <w:num w:numId="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C53E6"/>
    <w:rsid w:val="000E31AC"/>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44C4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44DF8"/>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81A81"/>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Default">
    <w:name w:val="Default"/>
    <w:basedOn w:val="Normal"/>
    <w:rsid w:val="00B44DF8"/>
    <w:pPr>
      <w:autoSpaceDE w:val="0"/>
      <w:autoSpaceDN w:val="0"/>
      <w:spacing w:before="0" w:after="0" w:line="240" w:lineRule="auto"/>
      <w:ind w:left="0" w:right="0"/>
    </w:pPr>
    <w:rPr>
      <w:rFonts w:eastAsiaTheme="minorHAnsi"/>
      <w:color w:val="00000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14616505">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36377842">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09522823">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88</TotalTime>
  <Pages>2</Pages>
  <Words>485</Words>
  <Characters>2770</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28</cp:revision>
  <cp:lastPrinted>2019-03-26T11:11:00Z</cp:lastPrinted>
  <dcterms:created xsi:type="dcterms:W3CDTF">2021-09-13T07:38:00Z</dcterms:created>
  <dcterms:modified xsi:type="dcterms:W3CDTF">2025-02-26T15:47:00Z</dcterms:modified>
</cp:coreProperties>
</file>