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76096D1C">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DF2290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1708A">
                              <w:rPr>
                                <w:rFonts w:ascii="Verdana" w:hAnsi="Verdana"/>
                                <w:b/>
                                <w:sz w:val="22"/>
                                <w:szCs w:val="22"/>
                              </w:rPr>
                              <w:t>25-A-049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DF2290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1708A">
                        <w:rPr>
                          <w:rFonts w:ascii="Verdana" w:hAnsi="Verdana"/>
                          <w:b/>
                          <w:sz w:val="22"/>
                          <w:szCs w:val="22"/>
                        </w:rPr>
                        <w:t>25-A-049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639C508F" w:rsidR="00DC0D5A" w:rsidRDefault="00A10460" w:rsidP="00DC0D5A">
      <w:pPr>
        <w:spacing w:before="280"/>
        <w:rPr>
          <w:rFonts w:ascii="Verdana" w:hAnsi="Verdana"/>
          <w:b/>
          <w:sz w:val="22"/>
        </w:rPr>
      </w:pPr>
      <w:r w:rsidRPr="00A10460">
        <w:rPr>
          <w:rFonts w:ascii="Verdana" w:hAnsi="Verdana"/>
          <w:b/>
          <w:sz w:val="22"/>
        </w:rPr>
        <w:t>You asked:</w:t>
      </w:r>
    </w:p>
    <w:p w14:paraId="5E474A8F" w14:textId="13C8F0A4" w:rsidR="00A1708A" w:rsidRDefault="00A1708A" w:rsidP="00A1708A">
      <w:pPr>
        <w:pStyle w:val="NormalWeb"/>
        <w:shd w:val="clear" w:color="auto" w:fill="FFFFFF"/>
        <w:ind w:left="505"/>
        <w:rPr>
          <w:rFonts w:ascii="Verdana" w:hAnsi="Verdana"/>
          <w:color w:val="000000"/>
          <w:sz w:val="22"/>
          <w:szCs w:val="22"/>
        </w:rPr>
      </w:pPr>
      <w:r w:rsidRPr="00A1708A">
        <w:rPr>
          <w:rFonts w:ascii="Verdana" w:hAnsi="Verdana"/>
          <w:color w:val="000000"/>
          <w:sz w:val="22"/>
          <w:szCs w:val="22"/>
        </w:rPr>
        <w:t xml:space="preserve">I would like to know the number of referrals for young people (under 18 years) that were made to Local Primary Mental Health Support Services (LPMHSS) in Wales in the year 2024. </w:t>
      </w:r>
    </w:p>
    <w:p w14:paraId="1EC48E22" w14:textId="77777777" w:rsidR="00A1708A" w:rsidRPr="00A1708A" w:rsidRDefault="00A1708A" w:rsidP="00A1708A">
      <w:pPr>
        <w:pStyle w:val="NormalWeb"/>
        <w:shd w:val="clear" w:color="auto" w:fill="FFFFFF"/>
        <w:ind w:left="505"/>
        <w:rPr>
          <w:rFonts w:ascii="Verdana" w:hAnsi="Verdana"/>
          <w:color w:val="000000"/>
          <w:sz w:val="22"/>
          <w:szCs w:val="22"/>
        </w:rPr>
      </w:pPr>
    </w:p>
    <w:p w14:paraId="18EB8A14" w14:textId="5C1CB2E9" w:rsidR="00A1708A" w:rsidRPr="00A1708A" w:rsidRDefault="00A1708A" w:rsidP="00A1708A">
      <w:pPr>
        <w:pStyle w:val="NormalWeb"/>
        <w:shd w:val="clear" w:color="auto" w:fill="FFFFFF"/>
        <w:ind w:left="505"/>
        <w:rPr>
          <w:rFonts w:ascii="Verdana" w:hAnsi="Verdana"/>
          <w:color w:val="000000"/>
          <w:sz w:val="22"/>
          <w:szCs w:val="22"/>
        </w:rPr>
      </w:pPr>
      <w:r w:rsidRPr="00A1708A">
        <w:rPr>
          <w:rFonts w:ascii="Verdana" w:hAnsi="Verdana"/>
          <w:color w:val="000000"/>
          <w:sz w:val="22"/>
          <w:szCs w:val="22"/>
        </w:rPr>
        <w:t>I would also like to know</w:t>
      </w:r>
      <w:r>
        <w:rPr>
          <w:rFonts w:ascii="Verdana" w:hAnsi="Verdana"/>
          <w:color w:val="000000"/>
          <w:sz w:val="22"/>
          <w:szCs w:val="22"/>
        </w:rPr>
        <w:t xml:space="preserve"> the t</w:t>
      </w:r>
      <w:r w:rsidRPr="00A1708A">
        <w:rPr>
          <w:rFonts w:ascii="Verdana" w:hAnsi="Verdana"/>
          <w:color w:val="000000"/>
          <w:sz w:val="22"/>
          <w:szCs w:val="22"/>
        </w:rPr>
        <w:t>otal number of young people who had to wait over 28 days for an initial assessment</w:t>
      </w:r>
      <w:r>
        <w:rPr>
          <w:rFonts w:ascii="Verdana" w:hAnsi="Verdana"/>
          <w:color w:val="000000"/>
          <w:sz w:val="22"/>
          <w:szCs w:val="22"/>
        </w:rPr>
        <w:t xml:space="preserve"> and the to</w:t>
      </w:r>
      <w:r w:rsidRPr="00A1708A">
        <w:rPr>
          <w:rFonts w:ascii="Verdana" w:hAnsi="Verdana"/>
          <w:color w:val="000000"/>
          <w:sz w:val="22"/>
          <w:szCs w:val="22"/>
        </w:rPr>
        <w:t>tal number of young people who had to wait over 56 days for an initial assessment</w:t>
      </w:r>
      <w:r w:rsidR="0065025E">
        <w:rPr>
          <w:rFonts w:ascii="Verdana" w:hAnsi="Verdana"/>
          <w:color w:val="000000"/>
          <w:sz w:val="22"/>
          <w:szCs w:val="22"/>
        </w:rPr>
        <w:t>.</w:t>
      </w:r>
      <w:r w:rsidRPr="00A1708A">
        <w:rPr>
          <w:rFonts w:ascii="Verdana" w:hAnsi="Verdana"/>
          <w:color w:val="000000"/>
          <w:sz w:val="22"/>
          <w:szCs w:val="22"/>
        </w:rPr>
        <w:t xml:space="preserve"> </w:t>
      </w:r>
    </w:p>
    <w:p w14:paraId="58B2F4E3" w14:textId="2848B41A" w:rsidR="00286642" w:rsidRDefault="00286642" w:rsidP="00DC0D5A">
      <w:pPr>
        <w:spacing w:before="280"/>
        <w:rPr>
          <w:rFonts w:ascii="Verdana" w:hAnsi="Verdana"/>
          <w:b/>
          <w:sz w:val="22"/>
        </w:rPr>
      </w:pPr>
      <w:r>
        <w:rPr>
          <w:rFonts w:ascii="Verdana" w:hAnsi="Verdana"/>
          <w:b/>
          <w:sz w:val="22"/>
        </w:rPr>
        <w:t>Our Response:</w:t>
      </w:r>
    </w:p>
    <w:p w14:paraId="6F31B407" w14:textId="6C5DE0AA" w:rsidR="00E31339" w:rsidRPr="00E31339" w:rsidRDefault="00E31339" w:rsidP="00FF2FB8">
      <w:pPr>
        <w:jc w:val="both"/>
        <w:rPr>
          <w:rFonts w:ascii="Verdana" w:hAnsi="Verdana"/>
          <w:color w:val="000000" w:themeColor="text1"/>
          <w:sz w:val="22"/>
          <w:szCs w:val="22"/>
        </w:rPr>
      </w:pPr>
      <w:r w:rsidRPr="00E31339">
        <w:rPr>
          <w:rFonts w:ascii="Verdana" w:hAnsi="Verdana"/>
          <w:color w:val="000000" w:themeColor="text1"/>
          <w:sz w:val="22"/>
          <w:szCs w:val="22"/>
        </w:rPr>
        <w:t>The CAMHS Directorate in Swansea Bay U</w:t>
      </w:r>
      <w:r w:rsidR="0055615E">
        <w:rPr>
          <w:rFonts w:ascii="Verdana" w:hAnsi="Verdana"/>
          <w:color w:val="000000" w:themeColor="text1"/>
          <w:sz w:val="22"/>
          <w:szCs w:val="22"/>
        </w:rPr>
        <w:t>nivers</w:t>
      </w:r>
      <w:r w:rsidR="002A6A5E">
        <w:rPr>
          <w:rFonts w:ascii="Verdana" w:hAnsi="Verdana"/>
          <w:color w:val="000000" w:themeColor="text1"/>
          <w:sz w:val="22"/>
          <w:szCs w:val="22"/>
        </w:rPr>
        <w:t>ity</w:t>
      </w:r>
      <w:r w:rsidR="0055615E">
        <w:rPr>
          <w:rFonts w:ascii="Verdana" w:hAnsi="Verdana"/>
          <w:color w:val="000000" w:themeColor="text1"/>
          <w:sz w:val="22"/>
          <w:szCs w:val="22"/>
        </w:rPr>
        <w:t xml:space="preserve"> Health Board</w:t>
      </w:r>
      <w:r w:rsidRPr="00E31339">
        <w:rPr>
          <w:rFonts w:ascii="Verdana" w:hAnsi="Verdana"/>
          <w:color w:val="000000" w:themeColor="text1"/>
          <w:sz w:val="22"/>
          <w:szCs w:val="22"/>
        </w:rPr>
        <w:t xml:space="preserve"> has been working to reduce waiting times for children and young people who require access to mental health support since its repatriation in April 2023. Close waiting list management, clinician job planning and use of variable staffing has been utilised to maximise capacity and facilitate prompt access. This effort can be seen within the data with only small numbers of young people waiting over 28 and 56 days in the last quarter of the year in comparison to the first quarter. </w:t>
      </w:r>
    </w:p>
    <w:tbl>
      <w:tblPr>
        <w:tblW w:w="11117" w:type="dxa"/>
        <w:tblLayout w:type="fixed"/>
        <w:tblLook w:val="04A0" w:firstRow="1" w:lastRow="0" w:firstColumn="1" w:lastColumn="0" w:noHBand="0" w:noVBand="1"/>
      </w:tblPr>
      <w:tblGrid>
        <w:gridCol w:w="1980"/>
        <w:gridCol w:w="752"/>
        <w:gridCol w:w="752"/>
        <w:gridCol w:w="753"/>
        <w:gridCol w:w="752"/>
        <w:gridCol w:w="818"/>
        <w:gridCol w:w="567"/>
        <w:gridCol w:w="567"/>
        <w:gridCol w:w="632"/>
        <w:gridCol w:w="709"/>
        <w:gridCol w:w="709"/>
        <w:gridCol w:w="708"/>
        <w:gridCol w:w="709"/>
        <w:gridCol w:w="709"/>
      </w:tblGrid>
      <w:tr w:rsidR="008E2DF5" w:rsidRPr="0065025E" w14:paraId="766D2A3A" w14:textId="77777777" w:rsidTr="002A6A5E">
        <w:trPr>
          <w:trHeight w:val="540"/>
        </w:trPr>
        <w:tc>
          <w:tcPr>
            <w:tcW w:w="1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148CA6" w14:textId="380A3C8E" w:rsidR="008E2DF5" w:rsidRPr="0065025E" w:rsidRDefault="008E2DF5" w:rsidP="00A1708A">
            <w:pPr>
              <w:spacing w:before="0" w:after="0" w:line="240" w:lineRule="auto"/>
              <w:ind w:left="0" w:right="0"/>
              <w:rPr>
                <w:rFonts w:ascii="Verdana" w:eastAsia="Times New Roman" w:hAnsi="Verdana" w:cs="Calibri"/>
                <w:b/>
                <w:bCs/>
                <w:color w:val="000000"/>
                <w:sz w:val="18"/>
                <w:szCs w:val="18"/>
              </w:rPr>
            </w:pPr>
            <w:r w:rsidRPr="0065025E">
              <w:rPr>
                <w:rFonts w:ascii="Verdana" w:eastAsia="Times New Roman" w:hAnsi="Verdana" w:cs="Calibri"/>
                <w:b/>
                <w:bCs/>
                <w:color w:val="000000"/>
                <w:sz w:val="18"/>
                <w:szCs w:val="18"/>
              </w:rPr>
              <w:t>Under 18 years</w:t>
            </w:r>
          </w:p>
        </w:tc>
        <w:tc>
          <w:tcPr>
            <w:tcW w:w="752" w:type="dxa"/>
            <w:tcBorders>
              <w:top w:val="single" w:sz="4" w:space="0" w:color="auto"/>
              <w:left w:val="nil"/>
              <w:bottom w:val="single" w:sz="4" w:space="0" w:color="auto"/>
              <w:right w:val="single" w:sz="4" w:space="0" w:color="auto"/>
            </w:tcBorders>
            <w:shd w:val="clear" w:color="auto" w:fill="auto"/>
            <w:vAlign w:val="bottom"/>
            <w:hideMark/>
          </w:tcPr>
          <w:p w14:paraId="5464B0BE" w14:textId="77777777" w:rsidR="008E2DF5" w:rsidRPr="0065025E" w:rsidRDefault="008E2DF5" w:rsidP="00A1708A">
            <w:pPr>
              <w:spacing w:before="0" w:after="0" w:line="240" w:lineRule="auto"/>
              <w:ind w:left="0" w:right="0"/>
              <w:jc w:val="right"/>
              <w:rPr>
                <w:rFonts w:ascii="Verdana" w:eastAsia="Times New Roman" w:hAnsi="Verdana" w:cs="Calibri"/>
                <w:b/>
                <w:bCs/>
                <w:color w:val="000000"/>
                <w:sz w:val="16"/>
                <w:szCs w:val="16"/>
              </w:rPr>
            </w:pPr>
            <w:r w:rsidRPr="0065025E">
              <w:rPr>
                <w:rFonts w:ascii="Verdana" w:eastAsia="Times New Roman" w:hAnsi="Verdana" w:cs="Calibri"/>
                <w:b/>
                <w:bCs/>
                <w:color w:val="000000"/>
                <w:sz w:val="16"/>
                <w:szCs w:val="16"/>
              </w:rPr>
              <w:t>Jan-24</w:t>
            </w:r>
          </w:p>
        </w:tc>
        <w:tc>
          <w:tcPr>
            <w:tcW w:w="752" w:type="dxa"/>
            <w:tcBorders>
              <w:top w:val="single" w:sz="4" w:space="0" w:color="auto"/>
              <w:left w:val="nil"/>
              <w:bottom w:val="single" w:sz="4" w:space="0" w:color="auto"/>
              <w:right w:val="single" w:sz="4" w:space="0" w:color="auto"/>
            </w:tcBorders>
            <w:shd w:val="clear" w:color="auto" w:fill="auto"/>
            <w:vAlign w:val="bottom"/>
            <w:hideMark/>
          </w:tcPr>
          <w:p w14:paraId="35DD4D34" w14:textId="77777777" w:rsidR="008E2DF5" w:rsidRPr="0065025E" w:rsidRDefault="008E2DF5" w:rsidP="00A1708A">
            <w:pPr>
              <w:spacing w:before="0" w:after="0" w:line="240" w:lineRule="auto"/>
              <w:ind w:left="0" w:right="0"/>
              <w:jc w:val="right"/>
              <w:rPr>
                <w:rFonts w:ascii="Verdana" w:eastAsia="Times New Roman" w:hAnsi="Verdana" w:cs="Calibri"/>
                <w:b/>
                <w:bCs/>
                <w:color w:val="000000"/>
                <w:sz w:val="16"/>
                <w:szCs w:val="16"/>
              </w:rPr>
            </w:pPr>
            <w:r w:rsidRPr="0065025E">
              <w:rPr>
                <w:rFonts w:ascii="Verdana" w:eastAsia="Times New Roman" w:hAnsi="Verdana" w:cs="Calibri"/>
                <w:b/>
                <w:bCs/>
                <w:color w:val="000000"/>
                <w:sz w:val="16"/>
                <w:szCs w:val="16"/>
              </w:rPr>
              <w:t>Feb-24</w:t>
            </w:r>
          </w:p>
        </w:tc>
        <w:tc>
          <w:tcPr>
            <w:tcW w:w="753" w:type="dxa"/>
            <w:tcBorders>
              <w:top w:val="single" w:sz="4" w:space="0" w:color="auto"/>
              <w:left w:val="nil"/>
              <w:bottom w:val="single" w:sz="4" w:space="0" w:color="auto"/>
              <w:right w:val="single" w:sz="4" w:space="0" w:color="auto"/>
            </w:tcBorders>
            <w:shd w:val="clear" w:color="auto" w:fill="auto"/>
            <w:vAlign w:val="bottom"/>
            <w:hideMark/>
          </w:tcPr>
          <w:p w14:paraId="05E7981D" w14:textId="77777777" w:rsidR="008E2DF5" w:rsidRPr="0065025E" w:rsidRDefault="008E2DF5" w:rsidP="00A1708A">
            <w:pPr>
              <w:spacing w:before="0" w:after="0" w:line="240" w:lineRule="auto"/>
              <w:ind w:left="0" w:right="0"/>
              <w:jc w:val="right"/>
              <w:rPr>
                <w:rFonts w:ascii="Verdana" w:eastAsia="Times New Roman" w:hAnsi="Verdana" w:cs="Calibri"/>
                <w:b/>
                <w:bCs/>
                <w:color w:val="000000"/>
                <w:sz w:val="16"/>
                <w:szCs w:val="16"/>
              </w:rPr>
            </w:pPr>
            <w:r w:rsidRPr="0065025E">
              <w:rPr>
                <w:rFonts w:ascii="Verdana" w:eastAsia="Times New Roman" w:hAnsi="Verdana" w:cs="Calibri"/>
                <w:b/>
                <w:bCs/>
                <w:color w:val="000000"/>
                <w:sz w:val="16"/>
                <w:szCs w:val="16"/>
              </w:rPr>
              <w:t>Mar-24</w:t>
            </w:r>
          </w:p>
        </w:tc>
        <w:tc>
          <w:tcPr>
            <w:tcW w:w="752" w:type="dxa"/>
            <w:tcBorders>
              <w:top w:val="single" w:sz="4" w:space="0" w:color="auto"/>
              <w:left w:val="nil"/>
              <w:bottom w:val="single" w:sz="4" w:space="0" w:color="auto"/>
              <w:right w:val="single" w:sz="4" w:space="0" w:color="auto"/>
            </w:tcBorders>
            <w:shd w:val="clear" w:color="auto" w:fill="auto"/>
            <w:vAlign w:val="bottom"/>
            <w:hideMark/>
          </w:tcPr>
          <w:p w14:paraId="20C34A4F" w14:textId="77777777" w:rsidR="008E2DF5" w:rsidRPr="0065025E" w:rsidRDefault="008E2DF5" w:rsidP="00A1708A">
            <w:pPr>
              <w:spacing w:before="0" w:after="0" w:line="240" w:lineRule="auto"/>
              <w:ind w:left="0" w:right="0"/>
              <w:jc w:val="right"/>
              <w:rPr>
                <w:rFonts w:ascii="Verdana" w:eastAsia="Times New Roman" w:hAnsi="Verdana" w:cs="Calibri"/>
                <w:b/>
                <w:bCs/>
                <w:color w:val="000000"/>
                <w:sz w:val="16"/>
                <w:szCs w:val="16"/>
              </w:rPr>
            </w:pPr>
            <w:r w:rsidRPr="0065025E">
              <w:rPr>
                <w:rFonts w:ascii="Verdana" w:eastAsia="Times New Roman" w:hAnsi="Verdana" w:cs="Calibri"/>
                <w:b/>
                <w:bCs/>
                <w:color w:val="000000"/>
                <w:sz w:val="16"/>
                <w:szCs w:val="16"/>
              </w:rPr>
              <w:t>Apr-24</w:t>
            </w:r>
          </w:p>
        </w:tc>
        <w:tc>
          <w:tcPr>
            <w:tcW w:w="818" w:type="dxa"/>
            <w:tcBorders>
              <w:top w:val="single" w:sz="4" w:space="0" w:color="auto"/>
              <w:left w:val="nil"/>
              <w:bottom w:val="single" w:sz="4" w:space="0" w:color="auto"/>
              <w:right w:val="single" w:sz="4" w:space="0" w:color="auto"/>
            </w:tcBorders>
            <w:shd w:val="clear" w:color="auto" w:fill="auto"/>
            <w:vAlign w:val="bottom"/>
            <w:hideMark/>
          </w:tcPr>
          <w:p w14:paraId="7F066DE5" w14:textId="77777777" w:rsidR="008E2DF5" w:rsidRPr="0065025E" w:rsidRDefault="008E2DF5" w:rsidP="00A1708A">
            <w:pPr>
              <w:spacing w:before="0" w:after="0" w:line="240" w:lineRule="auto"/>
              <w:ind w:left="0" w:right="0"/>
              <w:jc w:val="right"/>
              <w:rPr>
                <w:rFonts w:ascii="Verdana" w:eastAsia="Times New Roman" w:hAnsi="Verdana" w:cs="Calibri"/>
                <w:b/>
                <w:bCs/>
                <w:color w:val="000000"/>
                <w:sz w:val="16"/>
                <w:szCs w:val="16"/>
              </w:rPr>
            </w:pPr>
            <w:r w:rsidRPr="0065025E">
              <w:rPr>
                <w:rFonts w:ascii="Verdana" w:eastAsia="Times New Roman" w:hAnsi="Verdana" w:cs="Calibri"/>
                <w:b/>
                <w:bCs/>
                <w:color w:val="000000"/>
                <w:sz w:val="16"/>
                <w:szCs w:val="16"/>
              </w:rPr>
              <w:t>May-24</w:t>
            </w:r>
          </w:p>
        </w:tc>
        <w:tc>
          <w:tcPr>
            <w:tcW w:w="567" w:type="dxa"/>
            <w:tcBorders>
              <w:top w:val="single" w:sz="4" w:space="0" w:color="auto"/>
              <w:left w:val="nil"/>
              <w:bottom w:val="single" w:sz="4" w:space="0" w:color="auto"/>
              <w:right w:val="nil"/>
            </w:tcBorders>
          </w:tcPr>
          <w:p w14:paraId="431F2983" w14:textId="77777777" w:rsidR="008E2DF5" w:rsidRPr="0065025E" w:rsidRDefault="008E2DF5" w:rsidP="00A1708A">
            <w:pPr>
              <w:spacing w:before="0" w:after="0" w:line="240" w:lineRule="auto"/>
              <w:ind w:left="0" w:right="0"/>
              <w:jc w:val="right"/>
              <w:rPr>
                <w:rFonts w:ascii="Verdana" w:eastAsia="Times New Roman" w:hAnsi="Verdana" w:cs="Calibri"/>
                <w:b/>
                <w:bCs/>
                <w:color w:val="000000"/>
                <w:sz w:val="16"/>
                <w:szCs w:val="16"/>
              </w:rPr>
            </w:pPr>
          </w:p>
        </w:tc>
        <w:tc>
          <w:tcPr>
            <w:tcW w:w="567" w:type="dxa"/>
            <w:tcBorders>
              <w:top w:val="single" w:sz="4" w:space="0" w:color="auto"/>
              <w:left w:val="nil"/>
              <w:bottom w:val="single" w:sz="4" w:space="0" w:color="auto"/>
              <w:right w:val="single" w:sz="4" w:space="0" w:color="auto"/>
            </w:tcBorders>
            <w:shd w:val="clear" w:color="auto" w:fill="auto"/>
            <w:vAlign w:val="bottom"/>
            <w:hideMark/>
          </w:tcPr>
          <w:p w14:paraId="34B2E90C" w14:textId="1419F6D6" w:rsidR="008E2DF5" w:rsidRPr="0065025E" w:rsidRDefault="008E2DF5" w:rsidP="00A1708A">
            <w:pPr>
              <w:spacing w:before="0" w:after="0" w:line="240" w:lineRule="auto"/>
              <w:ind w:left="0" w:right="0"/>
              <w:jc w:val="right"/>
              <w:rPr>
                <w:rFonts w:ascii="Verdana" w:eastAsia="Times New Roman" w:hAnsi="Verdana" w:cs="Calibri"/>
                <w:b/>
                <w:bCs/>
                <w:color w:val="000000"/>
                <w:sz w:val="16"/>
                <w:szCs w:val="16"/>
              </w:rPr>
            </w:pPr>
            <w:r w:rsidRPr="0065025E">
              <w:rPr>
                <w:rFonts w:ascii="Verdana" w:eastAsia="Times New Roman" w:hAnsi="Verdana" w:cs="Calibri"/>
                <w:b/>
                <w:bCs/>
                <w:color w:val="000000"/>
                <w:sz w:val="16"/>
                <w:szCs w:val="16"/>
              </w:rPr>
              <w:t>Jun-24</w:t>
            </w:r>
          </w:p>
        </w:tc>
        <w:tc>
          <w:tcPr>
            <w:tcW w:w="632" w:type="dxa"/>
            <w:tcBorders>
              <w:top w:val="single" w:sz="4" w:space="0" w:color="auto"/>
              <w:left w:val="nil"/>
              <w:bottom w:val="single" w:sz="4" w:space="0" w:color="auto"/>
              <w:right w:val="single" w:sz="4" w:space="0" w:color="auto"/>
            </w:tcBorders>
            <w:shd w:val="clear" w:color="auto" w:fill="auto"/>
            <w:vAlign w:val="bottom"/>
            <w:hideMark/>
          </w:tcPr>
          <w:p w14:paraId="4EA338C4" w14:textId="77777777" w:rsidR="008E2DF5" w:rsidRPr="0065025E" w:rsidRDefault="008E2DF5" w:rsidP="00A1708A">
            <w:pPr>
              <w:spacing w:before="0" w:after="0" w:line="240" w:lineRule="auto"/>
              <w:ind w:left="0" w:right="0"/>
              <w:jc w:val="right"/>
              <w:rPr>
                <w:rFonts w:ascii="Verdana" w:eastAsia="Times New Roman" w:hAnsi="Verdana" w:cs="Calibri"/>
                <w:b/>
                <w:bCs/>
                <w:color w:val="000000"/>
                <w:sz w:val="16"/>
                <w:szCs w:val="16"/>
              </w:rPr>
            </w:pPr>
            <w:r w:rsidRPr="0065025E">
              <w:rPr>
                <w:rFonts w:ascii="Verdana" w:eastAsia="Times New Roman" w:hAnsi="Verdana" w:cs="Calibri"/>
                <w:b/>
                <w:bCs/>
                <w:color w:val="000000"/>
                <w:sz w:val="16"/>
                <w:szCs w:val="16"/>
              </w:rPr>
              <w:t>Jul-24</w:t>
            </w:r>
          </w:p>
        </w:tc>
        <w:tc>
          <w:tcPr>
            <w:tcW w:w="709" w:type="dxa"/>
            <w:tcBorders>
              <w:top w:val="single" w:sz="4" w:space="0" w:color="auto"/>
              <w:left w:val="nil"/>
              <w:bottom w:val="single" w:sz="4" w:space="0" w:color="auto"/>
              <w:right w:val="single" w:sz="4" w:space="0" w:color="auto"/>
            </w:tcBorders>
            <w:shd w:val="clear" w:color="auto" w:fill="auto"/>
            <w:vAlign w:val="bottom"/>
            <w:hideMark/>
          </w:tcPr>
          <w:p w14:paraId="66C59503" w14:textId="77777777" w:rsidR="008E2DF5" w:rsidRPr="0065025E" w:rsidRDefault="008E2DF5" w:rsidP="00A1708A">
            <w:pPr>
              <w:spacing w:before="0" w:after="0" w:line="240" w:lineRule="auto"/>
              <w:ind w:left="0" w:right="0"/>
              <w:jc w:val="right"/>
              <w:rPr>
                <w:rFonts w:ascii="Verdana" w:eastAsia="Times New Roman" w:hAnsi="Verdana" w:cs="Calibri"/>
                <w:b/>
                <w:bCs/>
                <w:color w:val="000000"/>
                <w:sz w:val="16"/>
                <w:szCs w:val="16"/>
              </w:rPr>
            </w:pPr>
            <w:r w:rsidRPr="0065025E">
              <w:rPr>
                <w:rFonts w:ascii="Verdana" w:eastAsia="Times New Roman" w:hAnsi="Verdana" w:cs="Calibri"/>
                <w:b/>
                <w:bCs/>
                <w:color w:val="000000"/>
                <w:sz w:val="16"/>
                <w:szCs w:val="16"/>
              </w:rPr>
              <w:t>Aug-24</w:t>
            </w:r>
          </w:p>
        </w:tc>
        <w:tc>
          <w:tcPr>
            <w:tcW w:w="709" w:type="dxa"/>
            <w:tcBorders>
              <w:top w:val="single" w:sz="4" w:space="0" w:color="auto"/>
              <w:left w:val="nil"/>
              <w:bottom w:val="single" w:sz="4" w:space="0" w:color="auto"/>
              <w:right w:val="single" w:sz="4" w:space="0" w:color="auto"/>
            </w:tcBorders>
            <w:shd w:val="clear" w:color="auto" w:fill="auto"/>
            <w:vAlign w:val="bottom"/>
            <w:hideMark/>
          </w:tcPr>
          <w:p w14:paraId="44F27DD0" w14:textId="77777777" w:rsidR="008E2DF5" w:rsidRPr="0065025E" w:rsidRDefault="008E2DF5" w:rsidP="00A1708A">
            <w:pPr>
              <w:spacing w:before="0" w:after="0" w:line="240" w:lineRule="auto"/>
              <w:ind w:left="0" w:right="0"/>
              <w:jc w:val="right"/>
              <w:rPr>
                <w:rFonts w:ascii="Verdana" w:eastAsia="Times New Roman" w:hAnsi="Verdana" w:cs="Calibri"/>
                <w:b/>
                <w:bCs/>
                <w:color w:val="000000"/>
                <w:sz w:val="16"/>
                <w:szCs w:val="16"/>
              </w:rPr>
            </w:pPr>
            <w:r w:rsidRPr="0065025E">
              <w:rPr>
                <w:rFonts w:ascii="Verdana" w:eastAsia="Times New Roman" w:hAnsi="Verdana" w:cs="Calibri"/>
                <w:b/>
                <w:bCs/>
                <w:color w:val="000000"/>
                <w:sz w:val="16"/>
                <w:szCs w:val="16"/>
              </w:rPr>
              <w:t>Sep-24</w:t>
            </w:r>
          </w:p>
        </w:tc>
        <w:tc>
          <w:tcPr>
            <w:tcW w:w="708" w:type="dxa"/>
            <w:tcBorders>
              <w:top w:val="single" w:sz="4" w:space="0" w:color="auto"/>
              <w:left w:val="nil"/>
              <w:bottom w:val="single" w:sz="4" w:space="0" w:color="auto"/>
              <w:right w:val="single" w:sz="4" w:space="0" w:color="auto"/>
            </w:tcBorders>
            <w:shd w:val="clear" w:color="auto" w:fill="auto"/>
            <w:vAlign w:val="bottom"/>
            <w:hideMark/>
          </w:tcPr>
          <w:p w14:paraId="25D179B8" w14:textId="77777777" w:rsidR="008E2DF5" w:rsidRPr="0065025E" w:rsidRDefault="008E2DF5" w:rsidP="00A1708A">
            <w:pPr>
              <w:spacing w:before="0" w:after="0" w:line="240" w:lineRule="auto"/>
              <w:ind w:left="0" w:right="0"/>
              <w:jc w:val="right"/>
              <w:rPr>
                <w:rFonts w:ascii="Verdana" w:eastAsia="Times New Roman" w:hAnsi="Verdana" w:cs="Calibri"/>
                <w:b/>
                <w:bCs/>
                <w:color w:val="000000"/>
                <w:sz w:val="16"/>
                <w:szCs w:val="16"/>
              </w:rPr>
            </w:pPr>
            <w:r w:rsidRPr="0065025E">
              <w:rPr>
                <w:rFonts w:ascii="Verdana" w:eastAsia="Times New Roman" w:hAnsi="Verdana" w:cs="Calibri"/>
                <w:b/>
                <w:bCs/>
                <w:color w:val="000000"/>
                <w:sz w:val="16"/>
                <w:szCs w:val="16"/>
              </w:rPr>
              <w:t>Oct-24</w:t>
            </w:r>
          </w:p>
        </w:tc>
        <w:tc>
          <w:tcPr>
            <w:tcW w:w="709" w:type="dxa"/>
            <w:tcBorders>
              <w:top w:val="single" w:sz="4" w:space="0" w:color="auto"/>
              <w:left w:val="nil"/>
              <w:bottom w:val="single" w:sz="4" w:space="0" w:color="auto"/>
              <w:right w:val="single" w:sz="4" w:space="0" w:color="auto"/>
            </w:tcBorders>
            <w:shd w:val="clear" w:color="auto" w:fill="auto"/>
            <w:vAlign w:val="bottom"/>
            <w:hideMark/>
          </w:tcPr>
          <w:p w14:paraId="7037438F" w14:textId="77777777" w:rsidR="008E2DF5" w:rsidRPr="0065025E" w:rsidRDefault="008E2DF5" w:rsidP="00A1708A">
            <w:pPr>
              <w:spacing w:before="0" w:after="0" w:line="240" w:lineRule="auto"/>
              <w:ind w:left="0" w:right="0"/>
              <w:jc w:val="right"/>
              <w:rPr>
                <w:rFonts w:ascii="Verdana" w:eastAsia="Times New Roman" w:hAnsi="Verdana" w:cs="Calibri"/>
                <w:b/>
                <w:bCs/>
                <w:color w:val="000000"/>
                <w:sz w:val="16"/>
                <w:szCs w:val="16"/>
              </w:rPr>
            </w:pPr>
            <w:r w:rsidRPr="0065025E">
              <w:rPr>
                <w:rFonts w:ascii="Verdana" w:eastAsia="Times New Roman" w:hAnsi="Verdana" w:cs="Calibri"/>
                <w:b/>
                <w:bCs/>
                <w:color w:val="000000"/>
                <w:sz w:val="16"/>
                <w:szCs w:val="16"/>
              </w:rPr>
              <w:t>Nov-24</w:t>
            </w:r>
          </w:p>
        </w:tc>
        <w:tc>
          <w:tcPr>
            <w:tcW w:w="709" w:type="dxa"/>
            <w:tcBorders>
              <w:top w:val="single" w:sz="4" w:space="0" w:color="auto"/>
              <w:left w:val="nil"/>
              <w:bottom w:val="single" w:sz="4" w:space="0" w:color="auto"/>
              <w:right w:val="single" w:sz="4" w:space="0" w:color="auto"/>
            </w:tcBorders>
            <w:shd w:val="clear" w:color="auto" w:fill="auto"/>
            <w:vAlign w:val="bottom"/>
            <w:hideMark/>
          </w:tcPr>
          <w:p w14:paraId="1327BC3D" w14:textId="77777777" w:rsidR="008E2DF5" w:rsidRPr="0065025E" w:rsidRDefault="008E2DF5" w:rsidP="00A1708A">
            <w:pPr>
              <w:spacing w:before="0" w:after="0" w:line="240" w:lineRule="auto"/>
              <w:ind w:left="0" w:right="0"/>
              <w:rPr>
                <w:rFonts w:ascii="Verdana" w:eastAsia="Times New Roman" w:hAnsi="Verdana" w:cs="Calibri"/>
                <w:b/>
                <w:bCs/>
                <w:color w:val="000000"/>
                <w:sz w:val="16"/>
                <w:szCs w:val="16"/>
              </w:rPr>
            </w:pPr>
            <w:r w:rsidRPr="0065025E">
              <w:rPr>
                <w:rFonts w:ascii="Verdana" w:eastAsia="Times New Roman" w:hAnsi="Verdana" w:cs="Calibri"/>
                <w:b/>
                <w:bCs/>
                <w:color w:val="000000"/>
                <w:sz w:val="16"/>
                <w:szCs w:val="16"/>
              </w:rPr>
              <w:t>Dec-24</w:t>
            </w:r>
          </w:p>
        </w:tc>
      </w:tr>
      <w:tr w:rsidR="008E2DF5" w:rsidRPr="0065025E" w14:paraId="113632AE" w14:textId="77777777" w:rsidTr="002A6A5E">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54F9EA81" w14:textId="60A5C28A" w:rsidR="008E2DF5" w:rsidRPr="0065025E" w:rsidRDefault="0055615E" w:rsidP="00A1708A">
            <w:pPr>
              <w:spacing w:before="0" w:after="0" w:line="240" w:lineRule="auto"/>
              <w:ind w:left="0" w:right="0"/>
              <w:rPr>
                <w:rFonts w:ascii="Verdana" w:eastAsia="Times New Roman" w:hAnsi="Verdana" w:cs="Calibri"/>
                <w:b/>
                <w:bCs/>
                <w:color w:val="000000"/>
                <w:sz w:val="18"/>
                <w:szCs w:val="18"/>
              </w:rPr>
            </w:pPr>
            <w:r>
              <w:rPr>
                <w:rFonts w:ascii="Verdana" w:eastAsia="Times New Roman" w:hAnsi="Verdana" w:cs="Calibri"/>
                <w:b/>
                <w:bCs/>
                <w:color w:val="000000"/>
                <w:sz w:val="18"/>
                <w:szCs w:val="18"/>
              </w:rPr>
              <w:t xml:space="preserve">Total Accepted </w:t>
            </w:r>
            <w:r w:rsidR="008E2DF5" w:rsidRPr="0065025E">
              <w:rPr>
                <w:rFonts w:ascii="Verdana" w:eastAsia="Times New Roman" w:hAnsi="Verdana" w:cs="Calibri"/>
                <w:b/>
                <w:bCs/>
                <w:color w:val="000000"/>
                <w:sz w:val="18"/>
                <w:szCs w:val="18"/>
              </w:rPr>
              <w:t>Referrals</w:t>
            </w:r>
          </w:p>
        </w:tc>
        <w:tc>
          <w:tcPr>
            <w:tcW w:w="752" w:type="dxa"/>
            <w:tcBorders>
              <w:top w:val="nil"/>
              <w:left w:val="nil"/>
              <w:bottom w:val="single" w:sz="4" w:space="0" w:color="auto"/>
              <w:right w:val="single" w:sz="4" w:space="0" w:color="auto"/>
            </w:tcBorders>
            <w:shd w:val="clear" w:color="auto" w:fill="auto"/>
            <w:noWrap/>
            <w:vAlign w:val="bottom"/>
            <w:hideMark/>
          </w:tcPr>
          <w:p w14:paraId="490EA7E7" w14:textId="77777777" w:rsidR="008E2DF5" w:rsidRDefault="008E2DF5" w:rsidP="00A1708A">
            <w:pPr>
              <w:spacing w:before="0" w:after="0" w:line="240" w:lineRule="auto"/>
              <w:ind w:left="0" w:right="0"/>
              <w:jc w:val="right"/>
              <w:rPr>
                <w:rFonts w:ascii="Verdana" w:eastAsia="Times New Roman" w:hAnsi="Verdana" w:cs="Calibri"/>
                <w:color w:val="000000"/>
                <w:sz w:val="18"/>
                <w:szCs w:val="18"/>
              </w:rPr>
            </w:pPr>
          </w:p>
          <w:p w14:paraId="1E891226" w14:textId="0B8A05D6" w:rsidR="008E2DF5"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79</w:t>
            </w:r>
          </w:p>
          <w:p w14:paraId="12A64563"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p>
        </w:tc>
        <w:tc>
          <w:tcPr>
            <w:tcW w:w="752" w:type="dxa"/>
            <w:tcBorders>
              <w:top w:val="nil"/>
              <w:left w:val="nil"/>
              <w:bottom w:val="single" w:sz="4" w:space="0" w:color="auto"/>
              <w:right w:val="single" w:sz="4" w:space="0" w:color="auto"/>
            </w:tcBorders>
            <w:shd w:val="clear" w:color="auto" w:fill="auto"/>
            <w:noWrap/>
            <w:vAlign w:val="bottom"/>
            <w:hideMark/>
          </w:tcPr>
          <w:p w14:paraId="0FC0975F"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81</w:t>
            </w:r>
          </w:p>
        </w:tc>
        <w:tc>
          <w:tcPr>
            <w:tcW w:w="753" w:type="dxa"/>
            <w:tcBorders>
              <w:top w:val="nil"/>
              <w:left w:val="nil"/>
              <w:bottom w:val="single" w:sz="4" w:space="0" w:color="auto"/>
              <w:right w:val="single" w:sz="4" w:space="0" w:color="auto"/>
            </w:tcBorders>
            <w:shd w:val="clear" w:color="auto" w:fill="auto"/>
            <w:noWrap/>
            <w:vAlign w:val="bottom"/>
            <w:hideMark/>
          </w:tcPr>
          <w:p w14:paraId="6A7BD806"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65</w:t>
            </w:r>
          </w:p>
        </w:tc>
        <w:tc>
          <w:tcPr>
            <w:tcW w:w="752" w:type="dxa"/>
            <w:tcBorders>
              <w:top w:val="nil"/>
              <w:left w:val="nil"/>
              <w:bottom w:val="single" w:sz="4" w:space="0" w:color="auto"/>
              <w:right w:val="single" w:sz="4" w:space="0" w:color="auto"/>
            </w:tcBorders>
            <w:shd w:val="clear" w:color="auto" w:fill="auto"/>
            <w:noWrap/>
            <w:vAlign w:val="bottom"/>
            <w:hideMark/>
          </w:tcPr>
          <w:p w14:paraId="2C1B4715"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80</w:t>
            </w:r>
          </w:p>
        </w:tc>
        <w:tc>
          <w:tcPr>
            <w:tcW w:w="818" w:type="dxa"/>
            <w:tcBorders>
              <w:top w:val="nil"/>
              <w:left w:val="nil"/>
              <w:bottom w:val="single" w:sz="4" w:space="0" w:color="auto"/>
              <w:right w:val="single" w:sz="4" w:space="0" w:color="auto"/>
            </w:tcBorders>
            <w:shd w:val="clear" w:color="auto" w:fill="auto"/>
            <w:noWrap/>
            <w:vAlign w:val="bottom"/>
            <w:hideMark/>
          </w:tcPr>
          <w:p w14:paraId="2D82AF7F"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102</w:t>
            </w:r>
          </w:p>
        </w:tc>
        <w:tc>
          <w:tcPr>
            <w:tcW w:w="567" w:type="dxa"/>
            <w:tcBorders>
              <w:top w:val="nil"/>
              <w:left w:val="nil"/>
              <w:bottom w:val="single" w:sz="4" w:space="0" w:color="auto"/>
              <w:right w:val="nil"/>
            </w:tcBorders>
          </w:tcPr>
          <w:p w14:paraId="142A4AA9"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p>
        </w:tc>
        <w:tc>
          <w:tcPr>
            <w:tcW w:w="567" w:type="dxa"/>
            <w:tcBorders>
              <w:top w:val="nil"/>
              <w:left w:val="nil"/>
              <w:bottom w:val="single" w:sz="4" w:space="0" w:color="auto"/>
              <w:right w:val="single" w:sz="4" w:space="0" w:color="auto"/>
            </w:tcBorders>
            <w:shd w:val="clear" w:color="auto" w:fill="auto"/>
            <w:noWrap/>
            <w:vAlign w:val="bottom"/>
            <w:hideMark/>
          </w:tcPr>
          <w:p w14:paraId="09935DD4" w14:textId="1D886228"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81</w:t>
            </w:r>
          </w:p>
        </w:tc>
        <w:tc>
          <w:tcPr>
            <w:tcW w:w="632" w:type="dxa"/>
            <w:tcBorders>
              <w:top w:val="nil"/>
              <w:left w:val="nil"/>
              <w:bottom w:val="single" w:sz="4" w:space="0" w:color="auto"/>
              <w:right w:val="single" w:sz="4" w:space="0" w:color="auto"/>
            </w:tcBorders>
            <w:shd w:val="clear" w:color="auto" w:fill="auto"/>
            <w:noWrap/>
            <w:vAlign w:val="bottom"/>
            <w:hideMark/>
          </w:tcPr>
          <w:p w14:paraId="75833473"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99</w:t>
            </w:r>
          </w:p>
        </w:tc>
        <w:tc>
          <w:tcPr>
            <w:tcW w:w="709" w:type="dxa"/>
            <w:tcBorders>
              <w:top w:val="nil"/>
              <w:left w:val="nil"/>
              <w:bottom w:val="single" w:sz="4" w:space="0" w:color="auto"/>
              <w:right w:val="single" w:sz="4" w:space="0" w:color="auto"/>
            </w:tcBorders>
            <w:shd w:val="clear" w:color="auto" w:fill="auto"/>
            <w:noWrap/>
            <w:vAlign w:val="bottom"/>
            <w:hideMark/>
          </w:tcPr>
          <w:p w14:paraId="458026F3"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76</w:t>
            </w:r>
          </w:p>
        </w:tc>
        <w:tc>
          <w:tcPr>
            <w:tcW w:w="709" w:type="dxa"/>
            <w:tcBorders>
              <w:top w:val="nil"/>
              <w:left w:val="nil"/>
              <w:bottom w:val="single" w:sz="4" w:space="0" w:color="auto"/>
              <w:right w:val="single" w:sz="4" w:space="0" w:color="auto"/>
            </w:tcBorders>
            <w:shd w:val="clear" w:color="auto" w:fill="auto"/>
            <w:noWrap/>
            <w:vAlign w:val="bottom"/>
            <w:hideMark/>
          </w:tcPr>
          <w:p w14:paraId="606305D4"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108</w:t>
            </w:r>
          </w:p>
        </w:tc>
        <w:tc>
          <w:tcPr>
            <w:tcW w:w="708" w:type="dxa"/>
            <w:tcBorders>
              <w:top w:val="nil"/>
              <w:left w:val="nil"/>
              <w:bottom w:val="single" w:sz="4" w:space="0" w:color="auto"/>
              <w:right w:val="single" w:sz="4" w:space="0" w:color="auto"/>
            </w:tcBorders>
            <w:shd w:val="clear" w:color="auto" w:fill="auto"/>
            <w:noWrap/>
            <w:vAlign w:val="bottom"/>
            <w:hideMark/>
          </w:tcPr>
          <w:p w14:paraId="51E36FC7"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143</w:t>
            </w:r>
          </w:p>
        </w:tc>
        <w:tc>
          <w:tcPr>
            <w:tcW w:w="709" w:type="dxa"/>
            <w:tcBorders>
              <w:top w:val="nil"/>
              <w:left w:val="nil"/>
              <w:bottom w:val="single" w:sz="4" w:space="0" w:color="auto"/>
              <w:right w:val="single" w:sz="4" w:space="0" w:color="auto"/>
            </w:tcBorders>
            <w:shd w:val="clear" w:color="auto" w:fill="auto"/>
            <w:noWrap/>
            <w:vAlign w:val="bottom"/>
            <w:hideMark/>
          </w:tcPr>
          <w:p w14:paraId="1D44165D"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110</w:t>
            </w:r>
          </w:p>
        </w:tc>
        <w:tc>
          <w:tcPr>
            <w:tcW w:w="709" w:type="dxa"/>
            <w:tcBorders>
              <w:top w:val="nil"/>
              <w:left w:val="nil"/>
              <w:bottom w:val="single" w:sz="4" w:space="0" w:color="auto"/>
              <w:right w:val="single" w:sz="4" w:space="0" w:color="auto"/>
            </w:tcBorders>
            <w:shd w:val="clear" w:color="auto" w:fill="auto"/>
            <w:noWrap/>
            <w:vAlign w:val="bottom"/>
            <w:hideMark/>
          </w:tcPr>
          <w:p w14:paraId="581AA4EE" w14:textId="77777777" w:rsidR="008E2DF5" w:rsidRPr="0065025E" w:rsidRDefault="008E2DF5" w:rsidP="00A1708A">
            <w:pPr>
              <w:spacing w:before="0" w:after="0" w:line="240" w:lineRule="auto"/>
              <w:ind w:left="0" w:right="0"/>
              <w:rPr>
                <w:rFonts w:ascii="Verdana" w:eastAsia="Times New Roman" w:hAnsi="Verdana" w:cs="Calibri"/>
                <w:color w:val="000000"/>
                <w:sz w:val="18"/>
                <w:szCs w:val="18"/>
              </w:rPr>
            </w:pPr>
            <w:r w:rsidRPr="0065025E">
              <w:rPr>
                <w:rFonts w:ascii="Verdana" w:eastAsia="Times New Roman" w:hAnsi="Verdana" w:cs="Calibri"/>
                <w:color w:val="000000"/>
                <w:sz w:val="18"/>
                <w:szCs w:val="18"/>
              </w:rPr>
              <w:t>65</w:t>
            </w:r>
          </w:p>
        </w:tc>
      </w:tr>
      <w:tr w:rsidR="008E2DF5" w:rsidRPr="0065025E" w14:paraId="4F404D46" w14:textId="77777777" w:rsidTr="002A6A5E">
        <w:trPr>
          <w:trHeight w:val="1200"/>
        </w:trPr>
        <w:tc>
          <w:tcPr>
            <w:tcW w:w="1980" w:type="dxa"/>
            <w:tcBorders>
              <w:top w:val="nil"/>
              <w:left w:val="single" w:sz="4" w:space="0" w:color="auto"/>
              <w:bottom w:val="single" w:sz="4" w:space="0" w:color="auto"/>
              <w:right w:val="single" w:sz="4" w:space="0" w:color="auto"/>
            </w:tcBorders>
            <w:shd w:val="clear" w:color="auto" w:fill="auto"/>
            <w:vAlign w:val="bottom"/>
            <w:hideMark/>
          </w:tcPr>
          <w:p w14:paraId="6742E61F" w14:textId="77777777" w:rsidR="008E2DF5" w:rsidRPr="0065025E" w:rsidRDefault="008E2DF5" w:rsidP="00A1708A">
            <w:pPr>
              <w:spacing w:before="0" w:after="0" w:line="240" w:lineRule="auto"/>
              <w:ind w:left="0" w:right="0"/>
              <w:rPr>
                <w:rFonts w:ascii="Verdana" w:eastAsia="Times New Roman" w:hAnsi="Verdana" w:cs="Calibri"/>
                <w:b/>
                <w:bCs/>
                <w:color w:val="000000"/>
                <w:sz w:val="18"/>
                <w:szCs w:val="18"/>
              </w:rPr>
            </w:pPr>
            <w:r w:rsidRPr="0065025E">
              <w:rPr>
                <w:rFonts w:ascii="Verdana" w:eastAsia="Times New Roman" w:hAnsi="Verdana" w:cs="Calibri"/>
                <w:b/>
                <w:bCs/>
                <w:color w:val="000000"/>
                <w:sz w:val="18"/>
                <w:szCs w:val="18"/>
              </w:rPr>
              <w:t>Total number of young people who had to wait over 28 days for an initial assessment  </w:t>
            </w:r>
          </w:p>
        </w:tc>
        <w:tc>
          <w:tcPr>
            <w:tcW w:w="752" w:type="dxa"/>
            <w:tcBorders>
              <w:top w:val="nil"/>
              <w:left w:val="nil"/>
              <w:bottom w:val="single" w:sz="4" w:space="0" w:color="auto"/>
              <w:right w:val="single" w:sz="4" w:space="0" w:color="auto"/>
            </w:tcBorders>
            <w:shd w:val="clear" w:color="auto" w:fill="auto"/>
            <w:noWrap/>
            <w:vAlign w:val="bottom"/>
            <w:hideMark/>
          </w:tcPr>
          <w:p w14:paraId="0C8313D9"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56</w:t>
            </w:r>
          </w:p>
        </w:tc>
        <w:tc>
          <w:tcPr>
            <w:tcW w:w="752" w:type="dxa"/>
            <w:tcBorders>
              <w:top w:val="nil"/>
              <w:left w:val="nil"/>
              <w:bottom w:val="single" w:sz="4" w:space="0" w:color="auto"/>
              <w:right w:val="single" w:sz="4" w:space="0" w:color="auto"/>
            </w:tcBorders>
            <w:shd w:val="clear" w:color="auto" w:fill="auto"/>
            <w:noWrap/>
            <w:vAlign w:val="bottom"/>
            <w:hideMark/>
          </w:tcPr>
          <w:p w14:paraId="1B9D247B"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37</w:t>
            </w:r>
          </w:p>
        </w:tc>
        <w:tc>
          <w:tcPr>
            <w:tcW w:w="753" w:type="dxa"/>
            <w:tcBorders>
              <w:top w:val="nil"/>
              <w:left w:val="nil"/>
              <w:bottom w:val="single" w:sz="4" w:space="0" w:color="auto"/>
              <w:right w:val="single" w:sz="4" w:space="0" w:color="auto"/>
            </w:tcBorders>
            <w:shd w:val="clear" w:color="auto" w:fill="auto"/>
            <w:noWrap/>
            <w:vAlign w:val="bottom"/>
            <w:hideMark/>
          </w:tcPr>
          <w:p w14:paraId="768D4272"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42</w:t>
            </w:r>
          </w:p>
        </w:tc>
        <w:tc>
          <w:tcPr>
            <w:tcW w:w="752" w:type="dxa"/>
            <w:tcBorders>
              <w:top w:val="nil"/>
              <w:left w:val="nil"/>
              <w:bottom w:val="single" w:sz="4" w:space="0" w:color="auto"/>
              <w:right w:val="single" w:sz="4" w:space="0" w:color="auto"/>
            </w:tcBorders>
            <w:shd w:val="clear" w:color="auto" w:fill="auto"/>
            <w:noWrap/>
            <w:vAlign w:val="bottom"/>
            <w:hideMark/>
          </w:tcPr>
          <w:p w14:paraId="243AFF5C"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71</w:t>
            </w:r>
          </w:p>
        </w:tc>
        <w:tc>
          <w:tcPr>
            <w:tcW w:w="818" w:type="dxa"/>
            <w:tcBorders>
              <w:top w:val="nil"/>
              <w:left w:val="nil"/>
              <w:bottom w:val="single" w:sz="4" w:space="0" w:color="auto"/>
              <w:right w:val="single" w:sz="4" w:space="0" w:color="auto"/>
            </w:tcBorders>
            <w:shd w:val="clear" w:color="auto" w:fill="auto"/>
            <w:noWrap/>
            <w:vAlign w:val="bottom"/>
            <w:hideMark/>
          </w:tcPr>
          <w:p w14:paraId="06632E4A"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63</w:t>
            </w:r>
          </w:p>
        </w:tc>
        <w:tc>
          <w:tcPr>
            <w:tcW w:w="567" w:type="dxa"/>
            <w:tcBorders>
              <w:top w:val="nil"/>
              <w:left w:val="nil"/>
              <w:bottom w:val="single" w:sz="4" w:space="0" w:color="auto"/>
              <w:right w:val="nil"/>
            </w:tcBorders>
          </w:tcPr>
          <w:p w14:paraId="63B24269"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p>
        </w:tc>
        <w:tc>
          <w:tcPr>
            <w:tcW w:w="567" w:type="dxa"/>
            <w:tcBorders>
              <w:top w:val="nil"/>
              <w:left w:val="nil"/>
              <w:bottom w:val="single" w:sz="4" w:space="0" w:color="auto"/>
              <w:right w:val="single" w:sz="4" w:space="0" w:color="auto"/>
            </w:tcBorders>
            <w:shd w:val="clear" w:color="auto" w:fill="auto"/>
            <w:noWrap/>
            <w:vAlign w:val="bottom"/>
            <w:hideMark/>
          </w:tcPr>
          <w:p w14:paraId="25F37366" w14:textId="357EFCBA"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29</w:t>
            </w:r>
          </w:p>
        </w:tc>
        <w:tc>
          <w:tcPr>
            <w:tcW w:w="632" w:type="dxa"/>
            <w:tcBorders>
              <w:top w:val="nil"/>
              <w:left w:val="nil"/>
              <w:bottom w:val="single" w:sz="4" w:space="0" w:color="auto"/>
              <w:right w:val="single" w:sz="4" w:space="0" w:color="auto"/>
            </w:tcBorders>
            <w:shd w:val="clear" w:color="auto" w:fill="auto"/>
            <w:noWrap/>
            <w:vAlign w:val="bottom"/>
            <w:hideMark/>
          </w:tcPr>
          <w:p w14:paraId="079ED179"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22</w:t>
            </w:r>
          </w:p>
        </w:tc>
        <w:tc>
          <w:tcPr>
            <w:tcW w:w="709" w:type="dxa"/>
            <w:tcBorders>
              <w:top w:val="nil"/>
              <w:left w:val="nil"/>
              <w:bottom w:val="single" w:sz="4" w:space="0" w:color="auto"/>
              <w:right w:val="single" w:sz="4" w:space="0" w:color="auto"/>
            </w:tcBorders>
            <w:shd w:val="clear" w:color="auto" w:fill="auto"/>
            <w:noWrap/>
            <w:vAlign w:val="bottom"/>
            <w:hideMark/>
          </w:tcPr>
          <w:p w14:paraId="72D6B205"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6</w:t>
            </w:r>
          </w:p>
        </w:tc>
        <w:tc>
          <w:tcPr>
            <w:tcW w:w="709" w:type="dxa"/>
            <w:tcBorders>
              <w:top w:val="nil"/>
              <w:left w:val="nil"/>
              <w:bottom w:val="single" w:sz="4" w:space="0" w:color="auto"/>
              <w:right w:val="single" w:sz="4" w:space="0" w:color="auto"/>
            </w:tcBorders>
            <w:shd w:val="clear" w:color="auto" w:fill="auto"/>
            <w:noWrap/>
            <w:vAlign w:val="bottom"/>
            <w:hideMark/>
          </w:tcPr>
          <w:p w14:paraId="31786A52"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5</w:t>
            </w:r>
          </w:p>
        </w:tc>
        <w:tc>
          <w:tcPr>
            <w:tcW w:w="708" w:type="dxa"/>
            <w:tcBorders>
              <w:top w:val="nil"/>
              <w:left w:val="nil"/>
              <w:bottom w:val="single" w:sz="4" w:space="0" w:color="auto"/>
              <w:right w:val="single" w:sz="4" w:space="0" w:color="auto"/>
            </w:tcBorders>
            <w:shd w:val="clear" w:color="auto" w:fill="auto"/>
            <w:noWrap/>
            <w:vAlign w:val="bottom"/>
            <w:hideMark/>
          </w:tcPr>
          <w:p w14:paraId="7393930B"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7</w:t>
            </w:r>
          </w:p>
        </w:tc>
        <w:tc>
          <w:tcPr>
            <w:tcW w:w="709" w:type="dxa"/>
            <w:tcBorders>
              <w:top w:val="nil"/>
              <w:left w:val="nil"/>
              <w:bottom w:val="single" w:sz="4" w:space="0" w:color="auto"/>
              <w:right w:val="single" w:sz="4" w:space="0" w:color="auto"/>
            </w:tcBorders>
            <w:shd w:val="clear" w:color="auto" w:fill="auto"/>
            <w:noWrap/>
            <w:vAlign w:val="bottom"/>
            <w:hideMark/>
          </w:tcPr>
          <w:p w14:paraId="7F7D033B"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12</w:t>
            </w:r>
          </w:p>
        </w:tc>
        <w:tc>
          <w:tcPr>
            <w:tcW w:w="709" w:type="dxa"/>
            <w:tcBorders>
              <w:top w:val="nil"/>
              <w:left w:val="nil"/>
              <w:bottom w:val="single" w:sz="4" w:space="0" w:color="auto"/>
              <w:right w:val="single" w:sz="4" w:space="0" w:color="auto"/>
            </w:tcBorders>
            <w:shd w:val="clear" w:color="auto" w:fill="auto"/>
            <w:noWrap/>
            <w:vAlign w:val="bottom"/>
            <w:hideMark/>
          </w:tcPr>
          <w:p w14:paraId="79F1E08C" w14:textId="77777777" w:rsidR="008E2DF5" w:rsidRPr="0065025E" w:rsidRDefault="008E2DF5" w:rsidP="00A1708A">
            <w:pPr>
              <w:spacing w:before="0" w:after="0" w:line="240" w:lineRule="auto"/>
              <w:ind w:left="0" w:right="0"/>
              <w:rPr>
                <w:rFonts w:ascii="Verdana" w:eastAsia="Times New Roman" w:hAnsi="Verdana" w:cs="Calibri"/>
                <w:color w:val="000000"/>
                <w:sz w:val="18"/>
                <w:szCs w:val="18"/>
              </w:rPr>
            </w:pPr>
            <w:r w:rsidRPr="0065025E">
              <w:rPr>
                <w:rFonts w:ascii="Verdana" w:eastAsia="Times New Roman" w:hAnsi="Verdana" w:cs="Calibri"/>
                <w:color w:val="000000"/>
                <w:sz w:val="18"/>
                <w:szCs w:val="18"/>
              </w:rPr>
              <w:t>10</w:t>
            </w:r>
          </w:p>
        </w:tc>
      </w:tr>
      <w:tr w:rsidR="008E2DF5" w:rsidRPr="0065025E" w14:paraId="3FB6EDB6" w14:textId="77777777" w:rsidTr="002A6A5E">
        <w:trPr>
          <w:trHeight w:val="1200"/>
        </w:trPr>
        <w:tc>
          <w:tcPr>
            <w:tcW w:w="1980" w:type="dxa"/>
            <w:tcBorders>
              <w:top w:val="nil"/>
              <w:left w:val="single" w:sz="4" w:space="0" w:color="auto"/>
              <w:bottom w:val="single" w:sz="4" w:space="0" w:color="auto"/>
              <w:right w:val="single" w:sz="4" w:space="0" w:color="auto"/>
            </w:tcBorders>
            <w:shd w:val="clear" w:color="auto" w:fill="auto"/>
            <w:vAlign w:val="bottom"/>
            <w:hideMark/>
          </w:tcPr>
          <w:p w14:paraId="70E15E5A" w14:textId="77777777" w:rsidR="008E2DF5" w:rsidRPr="0065025E" w:rsidRDefault="008E2DF5" w:rsidP="00A1708A">
            <w:pPr>
              <w:spacing w:before="0" w:after="0" w:line="240" w:lineRule="auto"/>
              <w:ind w:left="0" w:right="0"/>
              <w:rPr>
                <w:rFonts w:ascii="Verdana" w:eastAsia="Times New Roman" w:hAnsi="Verdana" w:cs="Calibri"/>
                <w:b/>
                <w:bCs/>
                <w:color w:val="000000"/>
                <w:sz w:val="18"/>
                <w:szCs w:val="18"/>
              </w:rPr>
            </w:pPr>
            <w:r w:rsidRPr="0065025E">
              <w:rPr>
                <w:rFonts w:ascii="Verdana" w:eastAsia="Times New Roman" w:hAnsi="Verdana" w:cs="Calibri"/>
                <w:b/>
                <w:bCs/>
                <w:color w:val="000000"/>
                <w:sz w:val="18"/>
                <w:szCs w:val="18"/>
              </w:rPr>
              <w:t>Total number of young people who had to wait over 56 days for an initial assessment</w:t>
            </w:r>
          </w:p>
        </w:tc>
        <w:tc>
          <w:tcPr>
            <w:tcW w:w="752" w:type="dxa"/>
            <w:tcBorders>
              <w:top w:val="nil"/>
              <w:left w:val="nil"/>
              <w:bottom w:val="single" w:sz="4" w:space="0" w:color="auto"/>
              <w:right w:val="single" w:sz="4" w:space="0" w:color="auto"/>
            </w:tcBorders>
            <w:shd w:val="clear" w:color="auto" w:fill="auto"/>
            <w:noWrap/>
            <w:vAlign w:val="bottom"/>
            <w:hideMark/>
          </w:tcPr>
          <w:p w14:paraId="10EDA06E"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19</w:t>
            </w:r>
          </w:p>
        </w:tc>
        <w:tc>
          <w:tcPr>
            <w:tcW w:w="752" w:type="dxa"/>
            <w:tcBorders>
              <w:top w:val="nil"/>
              <w:left w:val="nil"/>
              <w:bottom w:val="single" w:sz="4" w:space="0" w:color="auto"/>
              <w:right w:val="single" w:sz="4" w:space="0" w:color="auto"/>
            </w:tcBorders>
            <w:shd w:val="clear" w:color="auto" w:fill="auto"/>
            <w:noWrap/>
            <w:vAlign w:val="bottom"/>
            <w:hideMark/>
          </w:tcPr>
          <w:p w14:paraId="073047A6"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12</w:t>
            </w:r>
          </w:p>
        </w:tc>
        <w:tc>
          <w:tcPr>
            <w:tcW w:w="753" w:type="dxa"/>
            <w:tcBorders>
              <w:top w:val="nil"/>
              <w:left w:val="nil"/>
              <w:bottom w:val="single" w:sz="4" w:space="0" w:color="auto"/>
              <w:right w:val="single" w:sz="4" w:space="0" w:color="auto"/>
            </w:tcBorders>
            <w:shd w:val="clear" w:color="auto" w:fill="auto"/>
            <w:noWrap/>
            <w:vAlign w:val="bottom"/>
            <w:hideMark/>
          </w:tcPr>
          <w:p w14:paraId="62395ACF"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6</w:t>
            </w:r>
          </w:p>
        </w:tc>
        <w:tc>
          <w:tcPr>
            <w:tcW w:w="752" w:type="dxa"/>
            <w:tcBorders>
              <w:top w:val="nil"/>
              <w:left w:val="nil"/>
              <w:bottom w:val="single" w:sz="4" w:space="0" w:color="auto"/>
              <w:right w:val="single" w:sz="4" w:space="0" w:color="auto"/>
            </w:tcBorders>
            <w:shd w:val="clear" w:color="auto" w:fill="auto"/>
            <w:noWrap/>
            <w:vAlign w:val="bottom"/>
            <w:hideMark/>
          </w:tcPr>
          <w:p w14:paraId="4D5D972F"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15</w:t>
            </w:r>
          </w:p>
        </w:tc>
        <w:tc>
          <w:tcPr>
            <w:tcW w:w="818" w:type="dxa"/>
            <w:tcBorders>
              <w:top w:val="nil"/>
              <w:left w:val="nil"/>
              <w:bottom w:val="single" w:sz="4" w:space="0" w:color="auto"/>
              <w:right w:val="single" w:sz="4" w:space="0" w:color="auto"/>
            </w:tcBorders>
            <w:shd w:val="clear" w:color="auto" w:fill="auto"/>
            <w:noWrap/>
            <w:vAlign w:val="bottom"/>
            <w:hideMark/>
          </w:tcPr>
          <w:p w14:paraId="1A7DB3B4"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19</w:t>
            </w:r>
          </w:p>
        </w:tc>
        <w:tc>
          <w:tcPr>
            <w:tcW w:w="567" w:type="dxa"/>
            <w:tcBorders>
              <w:top w:val="nil"/>
              <w:left w:val="nil"/>
              <w:bottom w:val="single" w:sz="4" w:space="0" w:color="auto"/>
              <w:right w:val="nil"/>
            </w:tcBorders>
          </w:tcPr>
          <w:p w14:paraId="556205B0"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p>
        </w:tc>
        <w:tc>
          <w:tcPr>
            <w:tcW w:w="567" w:type="dxa"/>
            <w:tcBorders>
              <w:top w:val="nil"/>
              <w:left w:val="nil"/>
              <w:bottom w:val="single" w:sz="4" w:space="0" w:color="auto"/>
              <w:right w:val="single" w:sz="4" w:space="0" w:color="auto"/>
            </w:tcBorders>
            <w:shd w:val="clear" w:color="auto" w:fill="auto"/>
            <w:noWrap/>
            <w:vAlign w:val="bottom"/>
            <w:hideMark/>
          </w:tcPr>
          <w:p w14:paraId="6363BAC2" w14:textId="48AAA3FD"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7</w:t>
            </w:r>
          </w:p>
        </w:tc>
        <w:tc>
          <w:tcPr>
            <w:tcW w:w="632" w:type="dxa"/>
            <w:tcBorders>
              <w:top w:val="nil"/>
              <w:left w:val="nil"/>
              <w:bottom w:val="single" w:sz="4" w:space="0" w:color="auto"/>
              <w:right w:val="single" w:sz="4" w:space="0" w:color="auto"/>
            </w:tcBorders>
            <w:shd w:val="clear" w:color="auto" w:fill="auto"/>
            <w:noWrap/>
            <w:vAlign w:val="bottom"/>
            <w:hideMark/>
          </w:tcPr>
          <w:p w14:paraId="0400916D"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5</w:t>
            </w:r>
          </w:p>
        </w:tc>
        <w:tc>
          <w:tcPr>
            <w:tcW w:w="709" w:type="dxa"/>
            <w:tcBorders>
              <w:top w:val="nil"/>
              <w:left w:val="nil"/>
              <w:bottom w:val="single" w:sz="4" w:space="0" w:color="auto"/>
              <w:right w:val="single" w:sz="4" w:space="0" w:color="auto"/>
            </w:tcBorders>
            <w:shd w:val="clear" w:color="auto" w:fill="auto"/>
            <w:noWrap/>
            <w:vAlign w:val="bottom"/>
            <w:hideMark/>
          </w:tcPr>
          <w:p w14:paraId="24D7BA1F"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&lt;5*</w:t>
            </w:r>
          </w:p>
        </w:tc>
        <w:tc>
          <w:tcPr>
            <w:tcW w:w="709" w:type="dxa"/>
            <w:tcBorders>
              <w:top w:val="nil"/>
              <w:left w:val="nil"/>
              <w:bottom w:val="single" w:sz="4" w:space="0" w:color="auto"/>
              <w:right w:val="single" w:sz="4" w:space="0" w:color="auto"/>
            </w:tcBorders>
            <w:shd w:val="clear" w:color="auto" w:fill="auto"/>
            <w:noWrap/>
            <w:vAlign w:val="bottom"/>
            <w:hideMark/>
          </w:tcPr>
          <w:p w14:paraId="4BE1750A" w14:textId="77777777" w:rsidR="008E2DF5" w:rsidRDefault="008E2DF5" w:rsidP="00A1708A">
            <w:pPr>
              <w:spacing w:before="0" w:after="0" w:line="240" w:lineRule="auto"/>
              <w:ind w:left="0" w:right="0"/>
              <w:jc w:val="right"/>
              <w:rPr>
                <w:rFonts w:ascii="Verdana" w:eastAsia="Times New Roman" w:hAnsi="Verdana" w:cs="Calibri"/>
                <w:color w:val="000000"/>
                <w:sz w:val="18"/>
                <w:szCs w:val="18"/>
              </w:rPr>
            </w:pPr>
          </w:p>
          <w:p w14:paraId="030C0198" w14:textId="524C157E"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&lt;5*</w:t>
            </w:r>
          </w:p>
        </w:tc>
        <w:tc>
          <w:tcPr>
            <w:tcW w:w="708" w:type="dxa"/>
            <w:tcBorders>
              <w:top w:val="nil"/>
              <w:left w:val="nil"/>
              <w:bottom w:val="single" w:sz="4" w:space="0" w:color="auto"/>
              <w:right w:val="single" w:sz="4" w:space="0" w:color="auto"/>
            </w:tcBorders>
            <w:shd w:val="clear" w:color="auto" w:fill="auto"/>
            <w:noWrap/>
            <w:vAlign w:val="bottom"/>
            <w:hideMark/>
          </w:tcPr>
          <w:p w14:paraId="7EA5DEE2"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&lt;5*</w:t>
            </w:r>
          </w:p>
        </w:tc>
        <w:tc>
          <w:tcPr>
            <w:tcW w:w="709" w:type="dxa"/>
            <w:tcBorders>
              <w:top w:val="nil"/>
              <w:left w:val="nil"/>
              <w:bottom w:val="single" w:sz="4" w:space="0" w:color="auto"/>
              <w:right w:val="single" w:sz="4" w:space="0" w:color="auto"/>
            </w:tcBorders>
            <w:shd w:val="clear" w:color="auto" w:fill="auto"/>
            <w:noWrap/>
            <w:vAlign w:val="bottom"/>
            <w:hideMark/>
          </w:tcPr>
          <w:p w14:paraId="3C648CEC" w14:textId="77777777" w:rsidR="008E2DF5" w:rsidRPr="0065025E" w:rsidRDefault="008E2DF5" w:rsidP="00A1708A">
            <w:pPr>
              <w:spacing w:before="0" w:after="0" w:line="240" w:lineRule="auto"/>
              <w:ind w:left="0" w:right="0"/>
              <w:jc w:val="right"/>
              <w:rPr>
                <w:rFonts w:ascii="Verdana" w:eastAsia="Times New Roman" w:hAnsi="Verdana" w:cs="Calibri"/>
                <w:color w:val="000000"/>
                <w:sz w:val="18"/>
                <w:szCs w:val="18"/>
              </w:rPr>
            </w:pPr>
            <w:r w:rsidRPr="0065025E">
              <w:rPr>
                <w:rFonts w:ascii="Verdana" w:eastAsia="Times New Roman" w:hAnsi="Verdana" w:cs="Calibri"/>
                <w:color w:val="000000"/>
                <w:sz w:val="18"/>
                <w:szCs w:val="18"/>
              </w:rPr>
              <w:t>&lt;5*</w:t>
            </w:r>
          </w:p>
        </w:tc>
        <w:tc>
          <w:tcPr>
            <w:tcW w:w="709" w:type="dxa"/>
            <w:tcBorders>
              <w:top w:val="nil"/>
              <w:left w:val="nil"/>
              <w:bottom w:val="single" w:sz="4" w:space="0" w:color="auto"/>
              <w:right w:val="single" w:sz="4" w:space="0" w:color="auto"/>
            </w:tcBorders>
            <w:shd w:val="clear" w:color="auto" w:fill="auto"/>
            <w:noWrap/>
            <w:vAlign w:val="bottom"/>
            <w:hideMark/>
          </w:tcPr>
          <w:p w14:paraId="787F1E36" w14:textId="77777777" w:rsidR="008E2DF5" w:rsidRPr="0065025E" w:rsidRDefault="008E2DF5" w:rsidP="00A1708A">
            <w:pPr>
              <w:spacing w:before="0" w:after="0" w:line="240" w:lineRule="auto"/>
              <w:ind w:left="0" w:right="0"/>
              <w:rPr>
                <w:rFonts w:ascii="Verdana" w:eastAsia="Times New Roman" w:hAnsi="Verdana" w:cs="Calibri"/>
                <w:color w:val="000000"/>
                <w:sz w:val="18"/>
                <w:szCs w:val="18"/>
              </w:rPr>
            </w:pPr>
            <w:r w:rsidRPr="0065025E">
              <w:rPr>
                <w:rFonts w:ascii="Verdana" w:eastAsia="Times New Roman" w:hAnsi="Verdana" w:cs="Calibri"/>
                <w:color w:val="000000"/>
                <w:sz w:val="18"/>
                <w:szCs w:val="18"/>
              </w:rPr>
              <w:t>&lt;5*</w:t>
            </w:r>
          </w:p>
        </w:tc>
      </w:tr>
    </w:tbl>
    <w:p w14:paraId="3F8F3F1E" w14:textId="77777777" w:rsidR="00FF2FB8" w:rsidRDefault="00A1708A" w:rsidP="0065025E">
      <w:pPr>
        <w:rPr>
          <w:rFonts w:ascii="Verdana" w:hAnsi="Verdana"/>
          <w:sz w:val="22"/>
          <w:szCs w:val="22"/>
        </w:rPr>
      </w:pPr>
      <w:r>
        <w:rPr>
          <w:rFonts w:ascii="Verdana" w:hAnsi="Verdana"/>
          <w:b/>
          <w:bCs/>
          <w:noProof/>
          <w:sz w:val="22"/>
          <w:szCs w:val="22"/>
        </w:rPr>
        <w:t>*</w:t>
      </w:r>
      <w:r w:rsidRPr="00A1708A">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p>
    <w:p w14:paraId="4D2B651F" w14:textId="5D17195A" w:rsidR="004F001A" w:rsidRDefault="00421E7F" w:rsidP="00FF2FB8">
      <w:pPr>
        <w:rPr>
          <w:rFonts w:ascii="Verdana" w:hAnsi="Verdana"/>
          <w:b/>
          <w:bCs/>
          <w:noProof/>
          <w:sz w:val="22"/>
          <w:szCs w:val="22"/>
        </w:rPr>
      </w:pPr>
      <w:r>
        <w:rPr>
          <w:rFonts w:ascii="Verdana" w:hAnsi="Verdana"/>
          <w:b/>
          <w:bCs/>
          <w:noProof/>
          <w:sz w:val="22"/>
          <w:szCs w:val="22"/>
        </w:rPr>
        <w:t>_____________________________________________________________</w:t>
      </w:r>
    </w:p>
    <w:sectPr w:rsidR="004F001A"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90" type="#_x0000_t75" style="width:20.5pt;height:20.5pt;visibility:visible;mso-wrap-style:square" o:bullet="t">
        <v:imagedata r:id="rId1" o:title=""/>
      </v:shape>
    </w:pict>
  </w:numPicBullet>
  <w:numPicBullet w:numPicBulletId="1">
    <w:pict>
      <v:shape id="_x0000_i1191" type="#_x0000_t75" style="width:382.5pt;height:382.5pt;visibility:visible;mso-wrap-style:square" o:bullet="t">
        <v:imagedata r:id="rId2" o:title=""/>
      </v:shape>
    </w:pict>
  </w:numPicBullet>
  <w:numPicBullet w:numPicBulletId="2">
    <w:pict>
      <v:shape id="_x0000_i1192" type="#_x0000_t75" style="width:225.5pt;height:225.5pt;visibility:visible;mso-wrap-style:square" o:bullet="t">
        <v:imagedata r:id="rId3" o:title=""/>
      </v:shape>
    </w:pict>
  </w:numPicBullet>
  <w:numPicBullet w:numPicBulletId="3">
    <w:pict>
      <v:shape id="_x0000_i1193"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A6A5E"/>
    <w:rsid w:val="002B74C8"/>
    <w:rsid w:val="002C252B"/>
    <w:rsid w:val="002D32B6"/>
    <w:rsid w:val="002E02A9"/>
    <w:rsid w:val="00304A21"/>
    <w:rsid w:val="0035435D"/>
    <w:rsid w:val="00355B9A"/>
    <w:rsid w:val="003648A8"/>
    <w:rsid w:val="0039422D"/>
    <w:rsid w:val="003B09B5"/>
    <w:rsid w:val="003E5648"/>
    <w:rsid w:val="003F2312"/>
    <w:rsid w:val="004039EB"/>
    <w:rsid w:val="00421E7F"/>
    <w:rsid w:val="00442A3A"/>
    <w:rsid w:val="00453C57"/>
    <w:rsid w:val="0048724F"/>
    <w:rsid w:val="004C59CA"/>
    <w:rsid w:val="004C7B47"/>
    <w:rsid w:val="004E1954"/>
    <w:rsid w:val="004F001A"/>
    <w:rsid w:val="004F1E5A"/>
    <w:rsid w:val="004F4D32"/>
    <w:rsid w:val="005029F2"/>
    <w:rsid w:val="00504BFC"/>
    <w:rsid w:val="005317D4"/>
    <w:rsid w:val="00534D7A"/>
    <w:rsid w:val="00553E1D"/>
    <w:rsid w:val="0055615E"/>
    <w:rsid w:val="005925B8"/>
    <w:rsid w:val="0059485C"/>
    <w:rsid w:val="005F0E79"/>
    <w:rsid w:val="00602EE5"/>
    <w:rsid w:val="006137E4"/>
    <w:rsid w:val="00635BDA"/>
    <w:rsid w:val="0065025E"/>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8E2DF5"/>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08A"/>
    <w:rsid w:val="00A17614"/>
    <w:rsid w:val="00A56076"/>
    <w:rsid w:val="00A65DD3"/>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31339"/>
    <w:rsid w:val="00E545D8"/>
    <w:rsid w:val="00E817B3"/>
    <w:rsid w:val="00E90BC7"/>
    <w:rsid w:val="00EE0615"/>
    <w:rsid w:val="00F26B29"/>
    <w:rsid w:val="00F91A7E"/>
    <w:rsid w:val="00F96598"/>
    <w:rsid w:val="00FA0C91"/>
    <w:rsid w:val="00FA177F"/>
    <w:rsid w:val="00FB1E56"/>
    <w:rsid w:val="00FF2F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07562979">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69054104">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21738019">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221</TotalTime>
  <Pages>1</Pages>
  <Words>368</Words>
  <Characters>1749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31</cp:revision>
  <cp:lastPrinted>2019-03-26T11:11:00Z</cp:lastPrinted>
  <dcterms:created xsi:type="dcterms:W3CDTF">2021-09-13T07:38:00Z</dcterms:created>
  <dcterms:modified xsi:type="dcterms:W3CDTF">2025-02-07T11:51:00Z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c2e1ca3721ef2f88954c4496466f0fb120bab8effe6a626d8d161dfb05b165b0</vt:lpwstr>
  </property>
</Properties>
</file>