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8AEA5D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7498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25-A-053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8AEA5D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7498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25-A-053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327D1A7" w14:textId="5EDB9792" w:rsidR="0067498D" w:rsidRPr="0067498D" w:rsidRDefault="0067498D" w:rsidP="0067498D">
      <w:pPr>
        <w:spacing w:before="280"/>
        <w:rPr>
          <w:rFonts w:ascii="Verdana" w:hAnsi="Verdana"/>
          <w:b/>
          <w:sz w:val="22"/>
        </w:rPr>
      </w:pPr>
      <w:r w:rsidRPr="0067498D">
        <w:rPr>
          <w:rFonts w:ascii="Verdana" w:hAnsi="Verdana"/>
          <w:b/>
          <w:sz w:val="22"/>
        </w:rPr>
        <w:t>In the last quarter, what percentage of the following flexible endoscopes:</w:t>
      </w:r>
    </w:p>
    <w:p w14:paraId="69A2BFB8" w14:textId="1D8E9AC4" w:rsidR="0067498D" w:rsidRPr="0067498D" w:rsidRDefault="0067498D" w:rsidP="0067498D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67498D">
        <w:rPr>
          <w:rFonts w:ascii="Verdana" w:hAnsi="Verdana"/>
          <w:b/>
          <w:sz w:val="22"/>
        </w:rPr>
        <w:t>Gastroscopes</w:t>
      </w:r>
    </w:p>
    <w:p w14:paraId="23A1DDB2" w14:textId="76AA73CE" w:rsidR="0067498D" w:rsidRPr="0067498D" w:rsidRDefault="0067498D" w:rsidP="0067498D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67498D">
        <w:rPr>
          <w:rFonts w:ascii="Verdana" w:hAnsi="Verdana"/>
          <w:b/>
          <w:sz w:val="22"/>
        </w:rPr>
        <w:t>Colonoscopes</w:t>
      </w:r>
    </w:p>
    <w:p w14:paraId="323529D5" w14:textId="519747DE" w:rsidR="0067498D" w:rsidRPr="0067498D" w:rsidRDefault="0067498D" w:rsidP="0067498D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67498D">
        <w:rPr>
          <w:rFonts w:ascii="Verdana" w:hAnsi="Verdana"/>
          <w:b/>
          <w:sz w:val="22"/>
        </w:rPr>
        <w:t xml:space="preserve">Duodenoscopes </w:t>
      </w:r>
    </w:p>
    <w:p w14:paraId="3E4B89E8" w14:textId="3C9297F0" w:rsidR="00286642" w:rsidRDefault="0067498D" w:rsidP="0067498D">
      <w:pPr>
        <w:spacing w:before="280"/>
        <w:rPr>
          <w:rFonts w:ascii="Verdana" w:hAnsi="Verdana"/>
          <w:b/>
          <w:sz w:val="22"/>
        </w:rPr>
      </w:pPr>
      <w:r w:rsidRPr="0067498D">
        <w:rPr>
          <w:rFonts w:ascii="Verdana" w:hAnsi="Verdana"/>
          <w:b/>
          <w:sz w:val="22"/>
        </w:rPr>
        <w:t xml:space="preserve">were returned to the manual cleaning process because they were not used within 3 hours after removal from the endoscope washer disinfector (EWD) or automatic endoscope </w:t>
      </w:r>
      <w:proofErr w:type="spellStart"/>
      <w:r w:rsidRPr="0067498D">
        <w:rPr>
          <w:rFonts w:ascii="Verdana" w:hAnsi="Verdana"/>
          <w:b/>
          <w:sz w:val="22"/>
        </w:rPr>
        <w:t>reprocessor</w:t>
      </w:r>
      <w:proofErr w:type="spellEnd"/>
      <w:r w:rsidRPr="0067498D">
        <w:rPr>
          <w:rFonts w:ascii="Verdana" w:hAnsi="Verdana"/>
          <w:b/>
          <w:sz w:val="22"/>
        </w:rPr>
        <w:t xml:space="preserve">, as per BSG and ESGE guidelines.     </w:t>
      </w:r>
    </w:p>
    <w:p w14:paraId="23DF621B" w14:textId="66CC098A" w:rsidR="00873328" w:rsidRPr="0067498D" w:rsidRDefault="0067498D" w:rsidP="00421E7F">
      <w:pPr>
        <w:rPr>
          <w:rFonts w:ascii="Verdana" w:hAnsi="Verdana"/>
          <w:bCs/>
          <w:sz w:val="22"/>
        </w:rPr>
      </w:pPr>
      <w:r w:rsidRPr="0067498D">
        <w:rPr>
          <w:rFonts w:ascii="Verdana" w:hAnsi="Verdana"/>
          <w:bCs/>
          <w:sz w:val="22"/>
        </w:rPr>
        <w:t>In the period October to December 2024;</w:t>
      </w:r>
    </w:p>
    <w:p w14:paraId="459E1999" w14:textId="36195131" w:rsidR="0067498D" w:rsidRPr="0067498D" w:rsidRDefault="0067498D" w:rsidP="0067498D">
      <w:pPr>
        <w:rPr>
          <w:rFonts w:ascii="Verdana" w:hAnsi="Verdana"/>
          <w:noProof/>
          <w:sz w:val="22"/>
          <w:szCs w:val="22"/>
          <w:u w:val="single"/>
        </w:rPr>
      </w:pPr>
      <w:r w:rsidRPr="0067498D">
        <w:rPr>
          <w:rFonts w:ascii="Verdana" w:hAnsi="Verdana"/>
          <w:noProof/>
          <w:sz w:val="22"/>
          <w:szCs w:val="22"/>
          <w:u w:val="single"/>
        </w:rPr>
        <w:t>Singleton Hospital HSDU</w:t>
      </w:r>
    </w:p>
    <w:p w14:paraId="71216AE5" w14:textId="07F7B9C3" w:rsidR="0067498D" w:rsidRPr="0067498D" w:rsidRDefault="0067498D" w:rsidP="0067498D">
      <w:pPr>
        <w:pStyle w:val="ListParagraph"/>
        <w:numPr>
          <w:ilvl w:val="0"/>
          <w:numId w:val="24"/>
        </w:numPr>
        <w:rPr>
          <w:rFonts w:ascii="Verdana" w:hAnsi="Verdana"/>
          <w:noProof/>
          <w:sz w:val="22"/>
          <w:szCs w:val="22"/>
        </w:rPr>
      </w:pPr>
      <w:r w:rsidRPr="0067498D">
        <w:rPr>
          <w:rFonts w:ascii="Verdana" w:hAnsi="Verdana"/>
          <w:noProof/>
          <w:sz w:val="22"/>
          <w:szCs w:val="22"/>
        </w:rPr>
        <w:t>Gastroscopes - 25%</w:t>
      </w:r>
    </w:p>
    <w:p w14:paraId="16A3BF8A" w14:textId="77777777" w:rsidR="0067498D" w:rsidRPr="0067498D" w:rsidRDefault="0067498D" w:rsidP="0067498D">
      <w:pPr>
        <w:pStyle w:val="ListParagraph"/>
        <w:numPr>
          <w:ilvl w:val="0"/>
          <w:numId w:val="23"/>
        </w:numPr>
        <w:rPr>
          <w:rFonts w:ascii="Verdana" w:hAnsi="Verdana"/>
          <w:noProof/>
          <w:sz w:val="22"/>
          <w:szCs w:val="22"/>
        </w:rPr>
      </w:pPr>
      <w:r w:rsidRPr="0067498D">
        <w:rPr>
          <w:rFonts w:ascii="Verdana" w:hAnsi="Verdana"/>
          <w:noProof/>
          <w:sz w:val="22"/>
          <w:szCs w:val="22"/>
        </w:rPr>
        <w:t>Colonoscopes - 16.4%</w:t>
      </w:r>
    </w:p>
    <w:p w14:paraId="3C96D06B" w14:textId="27C52823" w:rsidR="0067498D" w:rsidRDefault="0067498D" w:rsidP="0067498D">
      <w:pPr>
        <w:pStyle w:val="ListParagraph"/>
        <w:numPr>
          <w:ilvl w:val="0"/>
          <w:numId w:val="23"/>
        </w:numPr>
        <w:rPr>
          <w:rFonts w:ascii="Verdana" w:hAnsi="Verdana"/>
          <w:noProof/>
          <w:sz w:val="22"/>
          <w:szCs w:val="22"/>
        </w:rPr>
      </w:pPr>
      <w:r w:rsidRPr="0067498D">
        <w:rPr>
          <w:rFonts w:ascii="Verdana" w:hAnsi="Verdana"/>
          <w:noProof/>
          <w:sz w:val="22"/>
          <w:szCs w:val="22"/>
        </w:rPr>
        <w:t>Duodenoscopes - 32.4%</w:t>
      </w:r>
    </w:p>
    <w:p w14:paraId="06579C67" w14:textId="6C581DB3" w:rsidR="0067498D" w:rsidRPr="0067498D" w:rsidRDefault="0067498D" w:rsidP="0067498D">
      <w:pPr>
        <w:rPr>
          <w:rFonts w:ascii="Verdana" w:hAnsi="Verdana"/>
          <w:noProof/>
          <w:sz w:val="22"/>
          <w:szCs w:val="22"/>
          <w:u w:val="single"/>
        </w:rPr>
      </w:pPr>
      <w:r w:rsidRPr="0067498D">
        <w:rPr>
          <w:rFonts w:ascii="Verdana" w:hAnsi="Verdana"/>
          <w:noProof/>
          <w:sz w:val="22"/>
          <w:szCs w:val="22"/>
          <w:u w:val="single"/>
        </w:rPr>
        <w:t>N</w:t>
      </w:r>
      <w:r w:rsidRPr="0067498D">
        <w:rPr>
          <w:rFonts w:ascii="Verdana" w:hAnsi="Verdana"/>
          <w:noProof/>
          <w:sz w:val="22"/>
          <w:szCs w:val="22"/>
          <w:u w:val="single"/>
        </w:rPr>
        <w:t>eath Port Talbot Hospital</w:t>
      </w:r>
    </w:p>
    <w:p w14:paraId="631C2424" w14:textId="62374970" w:rsidR="0067498D" w:rsidRPr="0067498D" w:rsidRDefault="0067498D" w:rsidP="0067498D">
      <w:pPr>
        <w:pStyle w:val="ListParagraph"/>
        <w:numPr>
          <w:ilvl w:val="0"/>
          <w:numId w:val="25"/>
        </w:numPr>
        <w:rPr>
          <w:rFonts w:ascii="Verdana" w:hAnsi="Verdana"/>
          <w:noProof/>
          <w:sz w:val="22"/>
          <w:szCs w:val="22"/>
        </w:rPr>
      </w:pPr>
      <w:r w:rsidRPr="0067498D">
        <w:rPr>
          <w:rFonts w:ascii="Verdana" w:hAnsi="Verdana"/>
          <w:noProof/>
          <w:sz w:val="22"/>
          <w:szCs w:val="22"/>
        </w:rPr>
        <w:t>Gastroscopes - 21.2%</w:t>
      </w:r>
    </w:p>
    <w:p w14:paraId="6A17C1EE" w14:textId="643BBF06" w:rsidR="0067498D" w:rsidRPr="0067498D" w:rsidRDefault="0067498D" w:rsidP="0067498D">
      <w:pPr>
        <w:pStyle w:val="ListParagraph"/>
        <w:numPr>
          <w:ilvl w:val="0"/>
          <w:numId w:val="25"/>
        </w:numPr>
        <w:rPr>
          <w:rFonts w:ascii="Verdana" w:hAnsi="Verdana"/>
          <w:noProof/>
          <w:sz w:val="22"/>
          <w:szCs w:val="22"/>
        </w:rPr>
      </w:pPr>
      <w:r w:rsidRPr="0067498D">
        <w:rPr>
          <w:rFonts w:ascii="Verdana" w:hAnsi="Verdana"/>
          <w:noProof/>
          <w:sz w:val="22"/>
          <w:szCs w:val="22"/>
        </w:rPr>
        <w:t>Colonoscopes - 18.3%</w:t>
      </w:r>
    </w:p>
    <w:p w14:paraId="0A73FAFF" w14:textId="45326A18" w:rsidR="0067498D" w:rsidRPr="0067498D" w:rsidRDefault="0067498D" w:rsidP="0067498D">
      <w:pPr>
        <w:pStyle w:val="ListParagraph"/>
        <w:numPr>
          <w:ilvl w:val="0"/>
          <w:numId w:val="25"/>
        </w:numPr>
        <w:rPr>
          <w:rFonts w:ascii="Verdana" w:hAnsi="Verdana"/>
          <w:noProof/>
          <w:sz w:val="22"/>
          <w:szCs w:val="22"/>
        </w:rPr>
      </w:pPr>
      <w:r w:rsidRPr="0067498D">
        <w:rPr>
          <w:rFonts w:ascii="Verdana" w:hAnsi="Verdana"/>
          <w:noProof/>
          <w:sz w:val="22"/>
          <w:szCs w:val="22"/>
        </w:rPr>
        <w:t xml:space="preserve">Duodenoscopes </w:t>
      </w:r>
      <w:r>
        <w:rPr>
          <w:rFonts w:ascii="Verdana" w:hAnsi="Verdana"/>
          <w:noProof/>
          <w:sz w:val="22"/>
          <w:szCs w:val="22"/>
        </w:rPr>
        <w:t>–</w:t>
      </w:r>
      <w:r w:rsidRPr="0067498D"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>not used</w:t>
      </w:r>
    </w:p>
    <w:p w14:paraId="1E70CFD2" w14:textId="1B044B62" w:rsidR="0067498D" w:rsidRPr="0067498D" w:rsidRDefault="0067498D" w:rsidP="0067498D">
      <w:pPr>
        <w:rPr>
          <w:rFonts w:ascii="Verdana" w:hAnsi="Verdana"/>
          <w:noProof/>
          <w:sz w:val="22"/>
          <w:szCs w:val="22"/>
          <w:u w:val="single"/>
        </w:rPr>
      </w:pPr>
      <w:r w:rsidRPr="0067498D">
        <w:rPr>
          <w:rFonts w:ascii="Verdana" w:hAnsi="Verdana"/>
          <w:noProof/>
          <w:sz w:val="22"/>
          <w:szCs w:val="22"/>
          <w:u w:val="single"/>
        </w:rPr>
        <w:t>Morriston</w:t>
      </w:r>
      <w:r w:rsidRPr="0067498D">
        <w:rPr>
          <w:rFonts w:ascii="Verdana" w:hAnsi="Verdana"/>
          <w:noProof/>
          <w:sz w:val="22"/>
          <w:szCs w:val="22"/>
          <w:u w:val="single"/>
        </w:rPr>
        <w:t xml:space="preserve"> Hospital</w:t>
      </w:r>
    </w:p>
    <w:p w14:paraId="5AA3A758" w14:textId="767F405F" w:rsidR="0067498D" w:rsidRPr="0067498D" w:rsidRDefault="0067498D" w:rsidP="0067498D">
      <w:pPr>
        <w:pStyle w:val="ListParagraph"/>
        <w:numPr>
          <w:ilvl w:val="0"/>
          <w:numId w:val="26"/>
        </w:numPr>
        <w:rPr>
          <w:rFonts w:ascii="Verdana" w:hAnsi="Verdana"/>
          <w:noProof/>
          <w:sz w:val="22"/>
          <w:szCs w:val="22"/>
        </w:rPr>
      </w:pPr>
      <w:r w:rsidRPr="0067498D">
        <w:rPr>
          <w:rFonts w:ascii="Verdana" w:hAnsi="Verdana"/>
          <w:noProof/>
          <w:sz w:val="22"/>
          <w:szCs w:val="22"/>
        </w:rPr>
        <w:t>Gastroscopes -  13.2%</w:t>
      </w:r>
    </w:p>
    <w:p w14:paraId="68E17431" w14:textId="43B38FE2" w:rsidR="0067498D" w:rsidRPr="0067498D" w:rsidRDefault="0067498D" w:rsidP="0067498D">
      <w:pPr>
        <w:pStyle w:val="ListParagraph"/>
        <w:numPr>
          <w:ilvl w:val="0"/>
          <w:numId w:val="26"/>
        </w:numPr>
        <w:rPr>
          <w:rFonts w:ascii="Verdana" w:hAnsi="Verdana"/>
          <w:noProof/>
          <w:sz w:val="22"/>
          <w:szCs w:val="22"/>
        </w:rPr>
      </w:pPr>
      <w:r w:rsidRPr="0067498D">
        <w:rPr>
          <w:rFonts w:ascii="Verdana" w:hAnsi="Verdana"/>
          <w:noProof/>
          <w:sz w:val="22"/>
          <w:szCs w:val="22"/>
        </w:rPr>
        <w:t>Colonoscopes - 20.6%</w:t>
      </w:r>
    </w:p>
    <w:p w14:paraId="51A19E4E" w14:textId="4CA4F57E" w:rsidR="0067498D" w:rsidRPr="0067498D" w:rsidRDefault="0067498D" w:rsidP="0067498D">
      <w:pPr>
        <w:pStyle w:val="ListParagraph"/>
        <w:numPr>
          <w:ilvl w:val="0"/>
          <w:numId w:val="26"/>
        </w:numPr>
        <w:rPr>
          <w:rFonts w:ascii="Verdana" w:hAnsi="Verdana"/>
          <w:noProof/>
          <w:sz w:val="22"/>
          <w:szCs w:val="22"/>
        </w:rPr>
      </w:pPr>
      <w:r w:rsidRPr="0067498D">
        <w:rPr>
          <w:rFonts w:ascii="Verdana" w:hAnsi="Verdana"/>
          <w:noProof/>
          <w:sz w:val="22"/>
          <w:szCs w:val="22"/>
        </w:rPr>
        <w:t>Duodenoscopes - 4.5%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D41BB5"/>
    <w:multiLevelType w:val="hybridMultilevel"/>
    <w:tmpl w:val="481A9798"/>
    <w:lvl w:ilvl="0" w:tplc="548C16AC">
      <w:numFmt w:val="bullet"/>
      <w:lvlText w:val="-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0566904"/>
    <w:multiLevelType w:val="hybridMultilevel"/>
    <w:tmpl w:val="09F8F1B8"/>
    <w:lvl w:ilvl="0" w:tplc="548C16AC">
      <w:numFmt w:val="bullet"/>
      <w:lvlText w:val="-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8A86A8F"/>
    <w:multiLevelType w:val="hybridMultilevel"/>
    <w:tmpl w:val="33384AC4"/>
    <w:lvl w:ilvl="0" w:tplc="548C16AC">
      <w:numFmt w:val="bullet"/>
      <w:lvlText w:val="-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92A8D36A">
      <w:numFmt w:val="bullet"/>
      <w:lvlText w:val="•"/>
      <w:lvlJc w:val="left"/>
      <w:pPr>
        <w:ind w:left="1945" w:hanging="360"/>
      </w:pPr>
      <w:rPr>
        <w:rFonts w:ascii="Verdana" w:eastAsia="Calibr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D484FAF"/>
    <w:multiLevelType w:val="hybridMultilevel"/>
    <w:tmpl w:val="54B2AB7A"/>
    <w:lvl w:ilvl="0" w:tplc="548C16AC">
      <w:numFmt w:val="bullet"/>
      <w:lvlText w:val="-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6171683F"/>
    <w:multiLevelType w:val="hybridMultilevel"/>
    <w:tmpl w:val="1D78FF8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2F64399"/>
    <w:multiLevelType w:val="hybridMultilevel"/>
    <w:tmpl w:val="04988FCA"/>
    <w:lvl w:ilvl="0" w:tplc="548C16AC">
      <w:numFmt w:val="bullet"/>
      <w:lvlText w:val="-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6F696FA3"/>
    <w:multiLevelType w:val="hybridMultilevel"/>
    <w:tmpl w:val="0E1EE7B2"/>
    <w:lvl w:ilvl="0" w:tplc="548C16AC">
      <w:numFmt w:val="bullet"/>
      <w:lvlText w:val="-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4" w15:restartNumberingAfterBreak="0">
    <w:nsid w:val="7E096A58"/>
    <w:multiLevelType w:val="hybridMultilevel"/>
    <w:tmpl w:val="0A468B60"/>
    <w:lvl w:ilvl="0" w:tplc="548C16AC">
      <w:numFmt w:val="bullet"/>
      <w:lvlText w:val="-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5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1"/>
  </w:num>
  <w:num w:numId="4">
    <w:abstractNumId w:val="21"/>
  </w:num>
  <w:num w:numId="5">
    <w:abstractNumId w:val="6"/>
  </w:num>
  <w:num w:numId="6">
    <w:abstractNumId w:val="5"/>
  </w:num>
  <w:num w:numId="7">
    <w:abstractNumId w:val="13"/>
  </w:num>
  <w:num w:numId="8">
    <w:abstractNumId w:val="19"/>
  </w:num>
  <w:num w:numId="9">
    <w:abstractNumId w:val="25"/>
  </w:num>
  <w:num w:numId="10">
    <w:abstractNumId w:val="2"/>
  </w:num>
  <w:num w:numId="11">
    <w:abstractNumId w:val="12"/>
  </w:num>
  <w:num w:numId="12">
    <w:abstractNumId w:val="15"/>
  </w:num>
  <w:num w:numId="13">
    <w:abstractNumId w:val="22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8"/>
  </w:num>
  <w:num w:numId="18">
    <w:abstractNumId w:val="3"/>
  </w:num>
  <w:num w:numId="19">
    <w:abstractNumId w:val="18"/>
  </w:num>
  <w:num w:numId="20">
    <w:abstractNumId w:val="1"/>
  </w:num>
  <w:num w:numId="21">
    <w:abstractNumId w:val="7"/>
  </w:num>
  <w:num w:numId="22">
    <w:abstractNumId w:val="4"/>
  </w:num>
  <w:num w:numId="23">
    <w:abstractNumId w:val="20"/>
  </w:num>
  <w:num w:numId="24">
    <w:abstractNumId w:val="17"/>
  </w:num>
  <w:num w:numId="25">
    <w:abstractNumId w:val="23"/>
  </w:num>
  <w:num w:numId="2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7498D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2025-02-17T14:46:00Z</dcterms:modified>
</cp:coreProperties>
</file>