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0F3BE098" w14:textId="04007857" w:rsidR="00065300" w:rsidRPr="00AB155A" w:rsidRDefault="00065300" w:rsidP="00AB155A">
      <w:pPr>
        <w:pStyle w:val="ListParagraph"/>
        <w:numPr>
          <w:ilvl w:val="0"/>
          <w:numId w:val="21"/>
        </w:numPr>
        <w:rPr>
          <w:rFonts w:ascii="Verdana" w:hAnsi="Verdana"/>
          <w:b/>
          <w:bCs/>
          <w:noProof/>
          <w:sz w:val="22"/>
          <w:szCs w:val="22"/>
        </w:rPr>
      </w:pPr>
      <w:r w:rsidRPr="00AB155A">
        <w:rPr>
          <w:rFonts w:ascii="Verdana" w:hAnsi="Verdana"/>
          <w:b/>
          <w:bCs/>
          <w:noProof/>
          <w:sz w:val="22"/>
          <w:szCs w:val="22"/>
        </w:rPr>
        <w:t>What is the content of any policy document or clinical referral protocol or guidance (henceforth abbreviated as ‘policy’) in current use in the Health Board which describes whether patients living with overweight or obesity, who are under consideration or seeking referral for hip or knee replacement surgery, are subject to any of the following:</w:t>
      </w:r>
    </w:p>
    <w:p w14:paraId="0723D108" w14:textId="77777777" w:rsidR="00065300" w:rsidRDefault="00065300" w:rsidP="00065300">
      <w:pPr>
        <w:numPr>
          <w:ilvl w:val="0"/>
          <w:numId w:val="19"/>
        </w:numPr>
        <w:rPr>
          <w:rFonts w:ascii="Verdana" w:hAnsi="Verdana"/>
          <w:b/>
          <w:bCs/>
          <w:noProof/>
          <w:sz w:val="22"/>
          <w:szCs w:val="22"/>
        </w:rPr>
      </w:pPr>
      <w:r w:rsidRPr="00065300">
        <w:rPr>
          <w:rFonts w:ascii="Verdana" w:hAnsi="Verdana"/>
          <w:b/>
          <w:bCs/>
          <w:noProof/>
          <w:sz w:val="22"/>
          <w:szCs w:val="22"/>
        </w:rPr>
        <w:t>A BMI threshold for referral to surgery or listing for surgery</w:t>
      </w:r>
    </w:p>
    <w:p w14:paraId="0416E106" w14:textId="77777777" w:rsidR="00065300" w:rsidRDefault="00065300" w:rsidP="00065300">
      <w:pPr>
        <w:numPr>
          <w:ilvl w:val="0"/>
          <w:numId w:val="19"/>
        </w:numPr>
        <w:rPr>
          <w:rFonts w:ascii="Verdana" w:hAnsi="Verdana"/>
          <w:b/>
          <w:bCs/>
          <w:noProof/>
          <w:sz w:val="22"/>
          <w:szCs w:val="22"/>
        </w:rPr>
      </w:pPr>
      <w:r w:rsidRPr="00065300">
        <w:rPr>
          <w:rFonts w:ascii="Verdana" w:hAnsi="Verdana"/>
          <w:b/>
          <w:bCs/>
          <w:noProof/>
          <w:sz w:val="22"/>
          <w:szCs w:val="22"/>
        </w:rPr>
        <w:t>A requirement to accept referral or support for weight management ahead of surgical referral or listing for surgery</w:t>
      </w:r>
    </w:p>
    <w:p w14:paraId="7CC350BC" w14:textId="77777777" w:rsidR="00065300" w:rsidRDefault="00065300" w:rsidP="00065300">
      <w:pPr>
        <w:numPr>
          <w:ilvl w:val="0"/>
          <w:numId w:val="19"/>
        </w:numPr>
        <w:rPr>
          <w:rFonts w:ascii="Verdana" w:hAnsi="Verdana"/>
          <w:b/>
          <w:bCs/>
          <w:noProof/>
          <w:sz w:val="22"/>
          <w:szCs w:val="22"/>
        </w:rPr>
      </w:pPr>
      <w:r w:rsidRPr="00065300">
        <w:rPr>
          <w:rFonts w:ascii="Verdana" w:hAnsi="Verdana"/>
          <w:b/>
          <w:bCs/>
          <w:noProof/>
          <w:sz w:val="22"/>
          <w:szCs w:val="22"/>
        </w:rPr>
        <w:t>A requirement to demonstrate attempted or successful weight loss ahead of surgical referral or listing for surgery</w:t>
      </w:r>
    </w:p>
    <w:p w14:paraId="6BFD26EB" w14:textId="77777777" w:rsidR="00065300" w:rsidRPr="00065300" w:rsidRDefault="00065300" w:rsidP="00065300">
      <w:pPr>
        <w:numPr>
          <w:ilvl w:val="0"/>
          <w:numId w:val="19"/>
        </w:numPr>
        <w:rPr>
          <w:rFonts w:ascii="Verdana" w:hAnsi="Verdana"/>
          <w:b/>
          <w:bCs/>
          <w:noProof/>
          <w:sz w:val="22"/>
          <w:szCs w:val="22"/>
        </w:rPr>
      </w:pPr>
      <w:r w:rsidRPr="00065300">
        <w:rPr>
          <w:rFonts w:ascii="Verdana" w:hAnsi="Verdana"/>
          <w:b/>
          <w:bCs/>
          <w:noProof/>
          <w:sz w:val="22"/>
          <w:szCs w:val="22"/>
        </w:rPr>
        <w:t>Postponement or delay to their surgical referral or listing for surgery, whether or not the patient chooses to engage in weight management during that time.</w:t>
      </w:r>
    </w:p>
    <w:p w14:paraId="69CAF17E" w14:textId="77777777" w:rsidR="00065300" w:rsidRDefault="00065300" w:rsidP="00065300">
      <w:pPr>
        <w:rPr>
          <w:rFonts w:ascii="Verdana" w:hAnsi="Verdana"/>
          <w:b/>
          <w:bCs/>
          <w:noProof/>
          <w:sz w:val="22"/>
          <w:szCs w:val="22"/>
        </w:rPr>
      </w:pPr>
    </w:p>
    <w:p w14:paraId="3B9141A1" w14:textId="372964E6" w:rsidR="00AB155A" w:rsidRDefault="00AB155A" w:rsidP="00AB155A">
      <w:pPr>
        <w:ind w:left="650" w:firstLine="215"/>
        <w:rPr>
          <w:rFonts w:ascii="Verdana" w:hAnsi="Verdana"/>
          <w:noProof/>
          <w:sz w:val="22"/>
          <w:szCs w:val="22"/>
        </w:rPr>
      </w:pPr>
      <w:r w:rsidRPr="00AB155A">
        <w:rPr>
          <w:rFonts w:ascii="Verdana" w:hAnsi="Verdana"/>
          <w:noProof/>
          <w:sz w:val="22"/>
          <w:szCs w:val="22"/>
        </w:rPr>
        <w:t>There is no Policy, but an agreed process covering the following:</w:t>
      </w:r>
    </w:p>
    <w:p w14:paraId="08206A63" w14:textId="2105141C" w:rsidR="00AB155A" w:rsidRDefault="00065300" w:rsidP="00AB155A">
      <w:pPr>
        <w:pStyle w:val="ListParagraph"/>
        <w:numPr>
          <w:ilvl w:val="0"/>
          <w:numId w:val="20"/>
        </w:numPr>
        <w:rPr>
          <w:rFonts w:ascii="Verdana" w:hAnsi="Verdana"/>
          <w:noProof/>
          <w:sz w:val="22"/>
          <w:szCs w:val="22"/>
        </w:rPr>
      </w:pPr>
      <w:r w:rsidRPr="00AB155A">
        <w:rPr>
          <w:rFonts w:ascii="Verdana" w:hAnsi="Verdana"/>
          <w:b/>
          <w:bCs/>
          <w:noProof/>
          <w:sz w:val="22"/>
          <w:szCs w:val="22"/>
        </w:rPr>
        <w:t>Referrals</w:t>
      </w:r>
      <w:r w:rsidR="00AB155A" w:rsidRPr="00AB155A">
        <w:rPr>
          <w:rFonts w:ascii="Verdana" w:hAnsi="Verdana"/>
          <w:noProof/>
          <w:sz w:val="22"/>
          <w:szCs w:val="22"/>
        </w:rPr>
        <w:t xml:space="preserve"> - </w:t>
      </w:r>
      <w:r w:rsidR="00AB155A">
        <w:rPr>
          <w:rFonts w:ascii="Verdana" w:hAnsi="Verdana"/>
          <w:noProof/>
          <w:sz w:val="22"/>
          <w:szCs w:val="22"/>
        </w:rPr>
        <w:t>a</w:t>
      </w:r>
      <w:r w:rsidRPr="00065300">
        <w:rPr>
          <w:rFonts w:ascii="Verdana" w:hAnsi="Verdana"/>
          <w:noProof/>
          <w:sz w:val="22"/>
          <w:szCs w:val="22"/>
        </w:rPr>
        <w:t>ll referrals into Trauma and Orthopaedic surgery for consideration of arthroplasty surgery must have a current BMI recorded on the referral.  Any referrals without a current BMI recorded will not be accepted and returned to referrer.</w:t>
      </w:r>
    </w:p>
    <w:p w14:paraId="2A9C585E" w14:textId="0C4C685E" w:rsidR="00AB155A" w:rsidRDefault="00065300" w:rsidP="00AB155A">
      <w:pPr>
        <w:pStyle w:val="ListParagraph"/>
        <w:numPr>
          <w:ilvl w:val="0"/>
          <w:numId w:val="20"/>
        </w:numPr>
        <w:rPr>
          <w:rFonts w:ascii="Verdana" w:hAnsi="Verdana"/>
          <w:noProof/>
          <w:sz w:val="22"/>
          <w:szCs w:val="22"/>
        </w:rPr>
      </w:pPr>
      <w:r w:rsidRPr="00AB155A">
        <w:rPr>
          <w:rFonts w:ascii="Verdana" w:hAnsi="Verdana"/>
          <w:b/>
          <w:bCs/>
          <w:noProof/>
          <w:sz w:val="22"/>
          <w:szCs w:val="22"/>
        </w:rPr>
        <w:t xml:space="preserve">First Outpatient </w:t>
      </w:r>
      <w:r w:rsidRPr="00AB155A">
        <w:rPr>
          <w:rFonts w:ascii="Verdana" w:hAnsi="Verdana"/>
          <w:b/>
          <w:bCs/>
          <w:noProof/>
          <w:sz w:val="22"/>
          <w:szCs w:val="22"/>
        </w:rPr>
        <w:t>Appointment</w:t>
      </w:r>
      <w:r w:rsidR="00AB155A" w:rsidRPr="00AB155A">
        <w:rPr>
          <w:rFonts w:ascii="Verdana" w:hAnsi="Verdana"/>
          <w:noProof/>
          <w:sz w:val="22"/>
          <w:szCs w:val="22"/>
        </w:rPr>
        <w:t xml:space="preserve"> - </w:t>
      </w:r>
      <w:r w:rsidR="00AB155A">
        <w:rPr>
          <w:rFonts w:ascii="Verdana" w:hAnsi="Verdana"/>
          <w:noProof/>
          <w:sz w:val="22"/>
          <w:szCs w:val="22"/>
        </w:rPr>
        <w:t>p</w:t>
      </w:r>
      <w:r w:rsidRPr="00065300">
        <w:rPr>
          <w:rFonts w:ascii="Verdana" w:hAnsi="Verdana"/>
          <w:noProof/>
          <w:sz w:val="22"/>
          <w:szCs w:val="22"/>
        </w:rPr>
        <w:t>atients identified as having a BMI of over 40 will have been referred to T</w:t>
      </w:r>
      <w:r w:rsidRPr="00AB155A">
        <w:rPr>
          <w:rFonts w:ascii="Verdana" w:hAnsi="Verdana"/>
          <w:noProof/>
          <w:sz w:val="22"/>
          <w:szCs w:val="22"/>
        </w:rPr>
        <w:t xml:space="preserve">rauma </w:t>
      </w:r>
      <w:r w:rsidRPr="00065300">
        <w:rPr>
          <w:rFonts w:ascii="Verdana" w:hAnsi="Verdana"/>
          <w:noProof/>
          <w:sz w:val="22"/>
          <w:szCs w:val="22"/>
        </w:rPr>
        <w:t>&amp;</w:t>
      </w:r>
      <w:r w:rsidRPr="00AB155A">
        <w:rPr>
          <w:rFonts w:ascii="Verdana" w:hAnsi="Verdana"/>
          <w:noProof/>
          <w:sz w:val="22"/>
          <w:szCs w:val="22"/>
        </w:rPr>
        <w:t xml:space="preserve"> </w:t>
      </w:r>
      <w:r w:rsidRPr="00065300">
        <w:rPr>
          <w:rFonts w:ascii="Verdana" w:hAnsi="Verdana"/>
          <w:noProof/>
          <w:sz w:val="22"/>
          <w:szCs w:val="22"/>
        </w:rPr>
        <w:t>O</w:t>
      </w:r>
      <w:r w:rsidRPr="00AB155A">
        <w:rPr>
          <w:rFonts w:ascii="Verdana" w:hAnsi="Verdana"/>
          <w:noProof/>
          <w:sz w:val="22"/>
          <w:szCs w:val="22"/>
        </w:rPr>
        <w:t>rthopaedic</w:t>
      </w:r>
      <w:r w:rsidRPr="00065300">
        <w:rPr>
          <w:rFonts w:ascii="Verdana" w:hAnsi="Verdana"/>
          <w:noProof/>
          <w:sz w:val="22"/>
          <w:szCs w:val="22"/>
        </w:rPr>
        <w:t xml:space="preserve"> </w:t>
      </w:r>
      <w:r w:rsidRPr="00AB155A">
        <w:rPr>
          <w:rFonts w:ascii="Verdana" w:hAnsi="Verdana"/>
          <w:noProof/>
          <w:sz w:val="22"/>
          <w:szCs w:val="22"/>
        </w:rPr>
        <w:t xml:space="preserve">(T&amp;O) </w:t>
      </w:r>
      <w:r w:rsidRPr="00065300">
        <w:rPr>
          <w:rFonts w:ascii="Verdana" w:hAnsi="Verdana"/>
          <w:noProof/>
          <w:sz w:val="22"/>
          <w:szCs w:val="22"/>
        </w:rPr>
        <w:t xml:space="preserve">pre-habilitation service at the same time as the referral has been made into T&amp;O. It is anticipated that weight loss will be achieved at the time patients attend for their first outpatient appointment. Having a BMI of over 40 will not preclude the patient from attending for first outpatient appointment. </w:t>
      </w:r>
    </w:p>
    <w:p w14:paraId="59DE7033" w14:textId="67D066AA" w:rsidR="00065300" w:rsidRPr="00065300" w:rsidRDefault="00065300" w:rsidP="00D601FA">
      <w:pPr>
        <w:pStyle w:val="ListParagraph"/>
        <w:numPr>
          <w:ilvl w:val="0"/>
          <w:numId w:val="20"/>
        </w:numPr>
        <w:rPr>
          <w:rFonts w:ascii="Verdana" w:hAnsi="Verdana"/>
          <w:noProof/>
          <w:sz w:val="22"/>
          <w:szCs w:val="22"/>
        </w:rPr>
      </w:pPr>
      <w:r w:rsidRPr="00AB155A">
        <w:rPr>
          <w:rFonts w:ascii="Verdana" w:hAnsi="Verdana"/>
          <w:b/>
          <w:bCs/>
          <w:noProof/>
          <w:sz w:val="22"/>
          <w:szCs w:val="22"/>
        </w:rPr>
        <w:t>Patients identified as having a BMI of Over 40 at first outpatient</w:t>
      </w:r>
      <w:r w:rsidR="00AB155A" w:rsidRPr="00AB155A">
        <w:rPr>
          <w:rFonts w:ascii="Verdana" w:hAnsi="Verdana"/>
          <w:noProof/>
          <w:sz w:val="22"/>
          <w:szCs w:val="22"/>
        </w:rPr>
        <w:t xml:space="preserve"> - </w:t>
      </w:r>
      <w:r w:rsidR="00AB155A">
        <w:rPr>
          <w:rFonts w:ascii="Verdana" w:hAnsi="Verdana"/>
          <w:noProof/>
          <w:sz w:val="22"/>
          <w:szCs w:val="22"/>
        </w:rPr>
        <w:t>w</w:t>
      </w:r>
      <w:r w:rsidRPr="00065300">
        <w:rPr>
          <w:rFonts w:ascii="Verdana" w:hAnsi="Verdana"/>
          <w:noProof/>
          <w:sz w:val="22"/>
          <w:szCs w:val="22"/>
        </w:rPr>
        <w:t xml:space="preserve">ill be listed for surgery but will be advised they cannot have surgery until </w:t>
      </w:r>
      <w:r w:rsidRPr="00065300">
        <w:rPr>
          <w:rFonts w:ascii="Verdana" w:hAnsi="Verdana"/>
          <w:noProof/>
          <w:sz w:val="22"/>
          <w:szCs w:val="22"/>
          <w:lang w:val="en-US"/>
        </w:rPr>
        <w:t>they achieve the appropriate weight loss.</w:t>
      </w:r>
    </w:p>
    <w:p w14:paraId="1D2A09CA" w14:textId="77777777" w:rsidR="00065300" w:rsidRPr="00065300" w:rsidRDefault="00065300" w:rsidP="00065300">
      <w:pPr>
        <w:rPr>
          <w:rFonts w:ascii="Verdana" w:hAnsi="Verdana"/>
          <w:b/>
          <w:bCs/>
          <w:noProof/>
          <w:sz w:val="22"/>
          <w:szCs w:val="22"/>
        </w:rPr>
      </w:pPr>
    </w:p>
    <w:p w14:paraId="299F4CCF" w14:textId="77777777" w:rsidR="00065300" w:rsidRPr="00AB155A" w:rsidRDefault="00065300" w:rsidP="00AB155A">
      <w:pPr>
        <w:pStyle w:val="ListParagraph"/>
        <w:numPr>
          <w:ilvl w:val="0"/>
          <w:numId w:val="21"/>
        </w:numPr>
        <w:rPr>
          <w:rFonts w:ascii="Verdana" w:hAnsi="Verdana"/>
          <w:b/>
          <w:bCs/>
          <w:noProof/>
          <w:sz w:val="22"/>
          <w:szCs w:val="22"/>
        </w:rPr>
      </w:pPr>
      <w:r w:rsidRPr="00AB155A">
        <w:rPr>
          <w:rFonts w:ascii="Verdana" w:hAnsi="Verdana"/>
          <w:b/>
          <w:bCs/>
          <w:noProof/>
          <w:sz w:val="22"/>
          <w:szCs w:val="22"/>
        </w:rPr>
        <w:t>What was the start date for the policy?</w:t>
      </w:r>
    </w:p>
    <w:p w14:paraId="1C7FEAA0" w14:textId="765FE3D2" w:rsidR="00065300" w:rsidRPr="00AB155A" w:rsidRDefault="00AB155A" w:rsidP="00AB155A">
      <w:pPr>
        <w:ind w:left="650" w:firstLine="215"/>
        <w:rPr>
          <w:rFonts w:ascii="Verdana" w:hAnsi="Verdana"/>
          <w:noProof/>
          <w:sz w:val="22"/>
          <w:szCs w:val="22"/>
        </w:rPr>
      </w:pPr>
      <w:r w:rsidRPr="00AB155A">
        <w:rPr>
          <w:rFonts w:ascii="Verdana" w:hAnsi="Verdana"/>
          <w:noProof/>
          <w:sz w:val="22"/>
          <w:szCs w:val="22"/>
        </w:rPr>
        <w:t>This process was agreed by the Associate Medical Director in January 2024</w:t>
      </w:r>
    </w:p>
    <w:p w14:paraId="4F89364A" w14:textId="77777777" w:rsidR="00065300" w:rsidRPr="00065300" w:rsidRDefault="00065300" w:rsidP="00065300">
      <w:pPr>
        <w:rPr>
          <w:rFonts w:ascii="Verdana" w:hAnsi="Verdana"/>
          <w:b/>
          <w:bCs/>
          <w:noProof/>
          <w:sz w:val="22"/>
          <w:szCs w:val="22"/>
        </w:rPr>
      </w:pPr>
    </w:p>
    <w:p w14:paraId="5F527977" w14:textId="77777777" w:rsidR="00065300" w:rsidRPr="00AB155A" w:rsidRDefault="00065300" w:rsidP="00AB155A">
      <w:pPr>
        <w:pStyle w:val="ListParagraph"/>
        <w:numPr>
          <w:ilvl w:val="0"/>
          <w:numId w:val="21"/>
        </w:numPr>
        <w:rPr>
          <w:rFonts w:ascii="Verdana" w:hAnsi="Verdana"/>
          <w:b/>
          <w:bCs/>
          <w:noProof/>
          <w:sz w:val="22"/>
          <w:szCs w:val="22"/>
        </w:rPr>
      </w:pPr>
      <w:r w:rsidRPr="00AB155A">
        <w:rPr>
          <w:rFonts w:ascii="Verdana" w:hAnsi="Verdana"/>
          <w:b/>
          <w:bCs/>
          <w:noProof/>
          <w:sz w:val="22"/>
          <w:szCs w:val="22"/>
        </w:rPr>
        <w:t>What is the planned review date for the policy?</w:t>
      </w:r>
    </w:p>
    <w:p w14:paraId="0A649D43" w14:textId="512DDF30" w:rsidR="00065300" w:rsidRPr="00AB155A" w:rsidRDefault="00AB155A" w:rsidP="00AB155A">
      <w:pPr>
        <w:ind w:left="865"/>
        <w:rPr>
          <w:rFonts w:ascii="Verdana" w:hAnsi="Verdana"/>
          <w:noProof/>
          <w:sz w:val="22"/>
          <w:szCs w:val="22"/>
        </w:rPr>
      </w:pPr>
      <w:r>
        <w:rPr>
          <w:rFonts w:ascii="Verdana" w:hAnsi="Verdana"/>
          <w:noProof/>
          <w:sz w:val="22"/>
          <w:szCs w:val="22"/>
        </w:rPr>
        <w:t>There is n</w:t>
      </w:r>
      <w:r w:rsidRPr="00AB155A">
        <w:rPr>
          <w:rFonts w:ascii="Verdana" w:hAnsi="Verdana"/>
          <w:noProof/>
          <w:sz w:val="22"/>
          <w:szCs w:val="22"/>
        </w:rPr>
        <w:t xml:space="preserve">o set date </w:t>
      </w:r>
      <w:r>
        <w:rPr>
          <w:rFonts w:ascii="Verdana" w:hAnsi="Verdana"/>
          <w:noProof/>
          <w:sz w:val="22"/>
          <w:szCs w:val="22"/>
        </w:rPr>
        <w:t xml:space="preserve">to review the process but it is reviewed </w:t>
      </w:r>
      <w:r w:rsidRPr="00AB155A">
        <w:rPr>
          <w:rFonts w:ascii="Verdana" w:hAnsi="Verdana"/>
          <w:noProof/>
          <w:sz w:val="22"/>
          <w:szCs w:val="22"/>
        </w:rPr>
        <w:t>in line with W</w:t>
      </w:r>
      <w:r>
        <w:rPr>
          <w:rFonts w:ascii="Verdana" w:hAnsi="Verdana"/>
          <w:noProof/>
          <w:sz w:val="22"/>
          <w:szCs w:val="22"/>
        </w:rPr>
        <w:t xml:space="preserve">elsh </w:t>
      </w:r>
      <w:r w:rsidRPr="00AB155A">
        <w:rPr>
          <w:rFonts w:ascii="Verdana" w:hAnsi="Verdana"/>
          <w:noProof/>
          <w:sz w:val="22"/>
          <w:szCs w:val="22"/>
        </w:rPr>
        <w:t>G</w:t>
      </w:r>
      <w:r>
        <w:rPr>
          <w:rFonts w:ascii="Verdana" w:hAnsi="Verdana"/>
          <w:noProof/>
          <w:sz w:val="22"/>
          <w:szCs w:val="22"/>
        </w:rPr>
        <w:t>overnment</w:t>
      </w:r>
      <w:r w:rsidRPr="00AB155A">
        <w:rPr>
          <w:rFonts w:ascii="Verdana" w:hAnsi="Verdana"/>
          <w:noProof/>
          <w:sz w:val="22"/>
          <w:szCs w:val="22"/>
        </w:rPr>
        <w:t xml:space="preserve"> Referral to Treatment Time Guidance</w:t>
      </w:r>
      <w:r>
        <w:rPr>
          <w:rFonts w:ascii="Verdana" w:hAnsi="Verdana"/>
          <w:noProof/>
          <w:sz w:val="22"/>
          <w:szCs w:val="22"/>
        </w:rPr>
        <w:t>.</w:t>
      </w:r>
    </w:p>
    <w:p w14:paraId="664852E4" w14:textId="77777777" w:rsidR="00065300" w:rsidRPr="00065300" w:rsidRDefault="00065300" w:rsidP="00065300">
      <w:pPr>
        <w:rPr>
          <w:rFonts w:ascii="Verdana" w:hAnsi="Verdana"/>
          <w:b/>
          <w:bCs/>
          <w:noProof/>
          <w:sz w:val="22"/>
          <w:szCs w:val="22"/>
        </w:rPr>
      </w:pPr>
    </w:p>
    <w:p w14:paraId="7A0AA304" w14:textId="77777777" w:rsidR="00065300" w:rsidRPr="00AB155A" w:rsidRDefault="00065300" w:rsidP="00AB155A">
      <w:pPr>
        <w:pStyle w:val="ListParagraph"/>
        <w:numPr>
          <w:ilvl w:val="0"/>
          <w:numId w:val="21"/>
        </w:numPr>
        <w:rPr>
          <w:rFonts w:ascii="Verdana" w:hAnsi="Verdana"/>
          <w:b/>
          <w:bCs/>
          <w:noProof/>
          <w:sz w:val="22"/>
          <w:szCs w:val="22"/>
        </w:rPr>
      </w:pPr>
      <w:r w:rsidRPr="00AB155A">
        <w:rPr>
          <w:rFonts w:ascii="Verdana" w:hAnsi="Verdana"/>
          <w:b/>
          <w:bCs/>
          <w:noProof/>
          <w:sz w:val="22"/>
          <w:szCs w:val="22"/>
        </w:rPr>
        <w:t>If no such policy is currently in place, are there plans for policy introduction?</w:t>
      </w:r>
    </w:p>
    <w:p w14:paraId="578143A7" w14:textId="4A184EE2" w:rsidR="00065300" w:rsidRPr="00AB155A" w:rsidRDefault="00AB155A" w:rsidP="00AB155A">
      <w:pPr>
        <w:ind w:left="650" w:firstLine="215"/>
        <w:rPr>
          <w:rFonts w:ascii="Verdana" w:hAnsi="Verdana"/>
          <w:noProof/>
          <w:sz w:val="22"/>
          <w:szCs w:val="22"/>
        </w:rPr>
      </w:pPr>
      <w:r w:rsidRPr="00AB155A">
        <w:rPr>
          <w:rFonts w:ascii="Verdana" w:hAnsi="Verdana"/>
          <w:noProof/>
          <w:sz w:val="22"/>
          <w:szCs w:val="22"/>
        </w:rPr>
        <w:t>Not applicable.</w:t>
      </w:r>
    </w:p>
    <w:p w14:paraId="3A47A32C" w14:textId="77777777" w:rsidR="00065300" w:rsidRPr="00065300" w:rsidRDefault="00065300" w:rsidP="00065300">
      <w:pPr>
        <w:rPr>
          <w:rFonts w:ascii="Verdana" w:hAnsi="Verdana"/>
          <w:b/>
          <w:bCs/>
          <w:noProof/>
          <w:sz w:val="22"/>
          <w:szCs w:val="22"/>
        </w:rPr>
      </w:pPr>
    </w:p>
    <w:p w14:paraId="051CDA06" w14:textId="77777777" w:rsidR="00065300" w:rsidRPr="00AB155A" w:rsidRDefault="00065300" w:rsidP="00AB155A">
      <w:pPr>
        <w:pStyle w:val="ListParagraph"/>
        <w:numPr>
          <w:ilvl w:val="0"/>
          <w:numId w:val="21"/>
        </w:numPr>
        <w:rPr>
          <w:rFonts w:ascii="Verdana" w:hAnsi="Verdana"/>
          <w:b/>
          <w:bCs/>
          <w:noProof/>
          <w:sz w:val="22"/>
          <w:szCs w:val="22"/>
        </w:rPr>
      </w:pPr>
      <w:r w:rsidRPr="00AB155A">
        <w:rPr>
          <w:rFonts w:ascii="Verdana" w:hAnsi="Verdana"/>
          <w:b/>
          <w:bCs/>
          <w:noProof/>
          <w:sz w:val="22"/>
          <w:szCs w:val="22"/>
        </w:rPr>
        <w:t>If so, when and of what content?</w:t>
      </w:r>
    </w:p>
    <w:p w14:paraId="2178A95B" w14:textId="53E317E3" w:rsidR="00873328" w:rsidRPr="00AB155A" w:rsidRDefault="00AB155A" w:rsidP="00AB155A">
      <w:pPr>
        <w:ind w:left="650" w:firstLine="215"/>
        <w:rPr>
          <w:rFonts w:ascii="Verdana" w:hAnsi="Verdana"/>
          <w:noProof/>
          <w:sz w:val="22"/>
          <w:szCs w:val="22"/>
        </w:rPr>
      </w:pPr>
      <w:r w:rsidRPr="00AB155A">
        <w:rPr>
          <w:rFonts w:ascii="Verdana" w:hAnsi="Verdana"/>
          <w:noProof/>
          <w:sz w:val="22"/>
          <w:szCs w:val="22"/>
        </w:rPr>
        <w:t>Not applicable.</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AB155A">
      <w:footerReference w:type="default" r:id="rId8"/>
      <w:headerReference w:type="first" r:id="rId9"/>
      <w:footerReference w:type="first" r:id="rId10"/>
      <w:pgSz w:w="11906" w:h="16838"/>
      <w:pgMar w:top="720" w:right="720" w:bottom="241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266206896" name="Picture 26620689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002083033" name="Picture 1002083033"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69877699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6BF79B8"/>
    <w:multiLevelType w:val="hybridMultilevel"/>
    <w:tmpl w:val="C840C20A"/>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168458F"/>
    <w:multiLevelType w:val="hybridMultilevel"/>
    <w:tmpl w:val="CBCCE530"/>
    <w:lvl w:ilvl="0" w:tplc="F3CC9AE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5780A5F"/>
    <w:multiLevelType w:val="multilevel"/>
    <w:tmpl w:val="0022910E"/>
    <w:lvl w:ilvl="0">
      <w:start w:val="1"/>
      <w:numFmt w:val="bullet"/>
      <w:lvlText w:val=""/>
      <w:lvlJc w:val="left"/>
      <w:pPr>
        <w:tabs>
          <w:tab w:val="num" w:pos="1225"/>
        </w:tabs>
        <w:ind w:left="1225" w:hanging="360"/>
      </w:pPr>
      <w:rPr>
        <w:rFonts w:ascii="Symbol" w:hAnsi="Symbol" w:hint="default"/>
        <w:sz w:val="20"/>
      </w:rPr>
    </w:lvl>
    <w:lvl w:ilvl="1">
      <w:start w:val="1"/>
      <w:numFmt w:val="bullet"/>
      <w:lvlText w:val=""/>
      <w:lvlJc w:val="left"/>
      <w:pPr>
        <w:tabs>
          <w:tab w:val="num" w:pos="1945"/>
        </w:tabs>
        <w:ind w:left="1945" w:hanging="360"/>
      </w:pPr>
      <w:rPr>
        <w:rFonts w:ascii="Symbol" w:hAnsi="Symbol" w:hint="default"/>
        <w:sz w:val="20"/>
      </w:rPr>
    </w:lvl>
    <w:lvl w:ilvl="2">
      <w:start w:val="1"/>
      <w:numFmt w:val="bullet"/>
      <w:lvlText w:val=""/>
      <w:lvlJc w:val="left"/>
      <w:pPr>
        <w:tabs>
          <w:tab w:val="num" w:pos="2665"/>
        </w:tabs>
        <w:ind w:left="2665" w:hanging="360"/>
      </w:pPr>
      <w:rPr>
        <w:rFonts w:ascii="Symbol" w:hAnsi="Symbol" w:hint="default"/>
        <w:sz w:val="20"/>
      </w:rPr>
    </w:lvl>
    <w:lvl w:ilvl="3">
      <w:start w:val="1"/>
      <w:numFmt w:val="bullet"/>
      <w:lvlText w:val=""/>
      <w:lvlJc w:val="left"/>
      <w:pPr>
        <w:tabs>
          <w:tab w:val="num" w:pos="3385"/>
        </w:tabs>
        <w:ind w:left="3385" w:hanging="360"/>
      </w:pPr>
      <w:rPr>
        <w:rFonts w:ascii="Symbol" w:hAnsi="Symbol" w:hint="default"/>
        <w:sz w:val="20"/>
      </w:rPr>
    </w:lvl>
    <w:lvl w:ilvl="4">
      <w:start w:val="1"/>
      <w:numFmt w:val="bullet"/>
      <w:lvlText w:val=""/>
      <w:lvlJc w:val="left"/>
      <w:pPr>
        <w:tabs>
          <w:tab w:val="num" w:pos="4105"/>
        </w:tabs>
        <w:ind w:left="4105" w:hanging="360"/>
      </w:pPr>
      <w:rPr>
        <w:rFonts w:ascii="Symbol" w:hAnsi="Symbol" w:hint="default"/>
        <w:sz w:val="20"/>
      </w:rPr>
    </w:lvl>
    <w:lvl w:ilvl="5">
      <w:start w:val="1"/>
      <w:numFmt w:val="bullet"/>
      <w:lvlText w:val=""/>
      <w:lvlJc w:val="left"/>
      <w:pPr>
        <w:tabs>
          <w:tab w:val="num" w:pos="4825"/>
        </w:tabs>
        <w:ind w:left="4825" w:hanging="360"/>
      </w:pPr>
      <w:rPr>
        <w:rFonts w:ascii="Symbol" w:hAnsi="Symbol" w:hint="default"/>
        <w:sz w:val="20"/>
      </w:rPr>
    </w:lvl>
    <w:lvl w:ilvl="6">
      <w:start w:val="1"/>
      <w:numFmt w:val="bullet"/>
      <w:lvlText w:val=""/>
      <w:lvlJc w:val="left"/>
      <w:pPr>
        <w:tabs>
          <w:tab w:val="num" w:pos="5545"/>
        </w:tabs>
        <w:ind w:left="5545" w:hanging="360"/>
      </w:pPr>
      <w:rPr>
        <w:rFonts w:ascii="Symbol" w:hAnsi="Symbol" w:hint="default"/>
        <w:sz w:val="20"/>
      </w:rPr>
    </w:lvl>
    <w:lvl w:ilvl="7">
      <w:start w:val="1"/>
      <w:numFmt w:val="bullet"/>
      <w:lvlText w:val=""/>
      <w:lvlJc w:val="left"/>
      <w:pPr>
        <w:tabs>
          <w:tab w:val="num" w:pos="6265"/>
        </w:tabs>
        <w:ind w:left="6265" w:hanging="360"/>
      </w:pPr>
      <w:rPr>
        <w:rFonts w:ascii="Symbol" w:hAnsi="Symbol" w:hint="default"/>
        <w:sz w:val="20"/>
      </w:rPr>
    </w:lvl>
    <w:lvl w:ilvl="8">
      <w:start w:val="1"/>
      <w:numFmt w:val="bullet"/>
      <w:lvlText w:val=""/>
      <w:lvlJc w:val="left"/>
      <w:pPr>
        <w:tabs>
          <w:tab w:val="num" w:pos="6985"/>
        </w:tabs>
        <w:ind w:left="6985" w:hanging="360"/>
      </w:pPr>
      <w:rPr>
        <w:rFonts w:ascii="Symbol" w:hAnsi="Symbol" w:hint="default"/>
        <w:sz w:val="20"/>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8"/>
  </w:num>
  <w:num w:numId="5" w16cid:durableId="1143425367">
    <w:abstractNumId w:val="5"/>
  </w:num>
  <w:num w:numId="6" w16cid:durableId="1293360629">
    <w:abstractNumId w:val="4"/>
  </w:num>
  <w:num w:numId="7" w16cid:durableId="479228409">
    <w:abstractNumId w:val="11"/>
  </w:num>
  <w:num w:numId="8" w16cid:durableId="1553300907">
    <w:abstractNumId w:val="16"/>
  </w:num>
  <w:num w:numId="9" w16cid:durableId="687946864">
    <w:abstractNumId w:val="20"/>
  </w:num>
  <w:num w:numId="10" w16cid:durableId="993416643">
    <w:abstractNumId w:val="1"/>
  </w:num>
  <w:num w:numId="11" w16cid:durableId="1541481371">
    <w:abstractNumId w:val="10"/>
  </w:num>
  <w:num w:numId="12" w16cid:durableId="1525171868">
    <w:abstractNumId w:val="14"/>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242763259">
    <w:abstractNumId w:val="17"/>
    <w:lvlOverride w:ilvl="0"/>
    <w:lvlOverride w:ilvl="1"/>
    <w:lvlOverride w:ilvl="2"/>
    <w:lvlOverride w:ilvl="3"/>
    <w:lvlOverride w:ilvl="4"/>
    <w:lvlOverride w:ilvl="5"/>
    <w:lvlOverride w:ilvl="6"/>
    <w:lvlOverride w:ilvl="7"/>
    <w:lvlOverride w:ilvl="8"/>
  </w:num>
  <w:num w:numId="20" w16cid:durableId="2086417137">
    <w:abstractNumId w:val="3"/>
  </w:num>
  <w:num w:numId="21" w16cid:durableId="81186708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5300"/>
    <w:rsid w:val="00095DF5"/>
    <w:rsid w:val="000A785B"/>
    <w:rsid w:val="000C00ED"/>
    <w:rsid w:val="000F6539"/>
    <w:rsid w:val="00111757"/>
    <w:rsid w:val="001276F0"/>
    <w:rsid w:val="001508FC"/>
    <w:rsid w:val="00185784"/>
    <w:rsid w:val="001B1339"/>
    <w:rsid w:val="001E2D50"/>
    <w:rsid w:val="00212FA0"/>
    <w:rsid w:val="00213076"/>
    <w:rsid w:val="002156AF"/>
    <w:rsid w:val="002334E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155A"/>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73350198">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7878344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6164032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68287605">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337</Words>
  <Characters>1927</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26</cp:revision>
  <cp:lastPrinted>2019-03-26T11:11:00Z</cp:lastPrinted>
  <dcterms:created xsi:type="dcterms:W3CDTF">2021-09-13T07:38:00Z</dcterms:created>
  <dcterms:modified xsi:type="dcterms:W3CDTF">2025-07-29T13:24:00Z</dcterms:modified>
</cp:coreProperties>
</file>