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A11C7A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A2673">
                              <w:rPr>
                                <w:rFonts w:ascii="Verdana" w:hAnsi="Verdana"/>
                                <w:b/>
                                <w:sz w:val="22"/>
                                <w:szCs w:val="22"/>
                              </w:rPr>
                              <w:t>25-F-013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A11C7A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A2673">
                        <w:rPr>
                          <w:rFonts w:ascii="Verdana" w:hAnsi="Verdana"/>
                          <w:b/>
                          <w:sz w:val="22"/>
                          <w:szCs w:val="22"/>
                        </w:rPr>
                        <w:t>25-F-013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1DA4F90" w14:textId="0E5C1130" w:rsidR="004A2673" w:rsidRPr="004A2673" w:rsidRDefault="004A2673" w:rsidP="004A2673">
      <w:pPr>
        <w:rPr>
          <w:rFonts w:ascii="Verdana" w:hAnsi="Verdana"/>
          <w:b/>
          <w:bCs/>
          <w:noProof/>
          <w:sz w:val="22"/>
          <w:szCs w:val="22"/>
        </w:rPr>
      </w:pPr>
      <w:r w:rsidRPr="004A2673">
        <w:rPr>
          <w:rFonts w:ascii="Verdana" w:hAnsi="Verdana"/>
          <w:b/>
          <w:bCs/>
          <w:noProof/>
          <w:sz w:val="22"/>
          <w:szCs w:val="22"/>
        </w:rPr>
        <w:t>I am writing to request information under the Freedom of Information Act 2000 regarding the current policies and procedures followed by Swansea Bay University Health Board (SBU) in relation to suspected cancer diagnoses, particularly in relation to gastrointestinal, neurological, and oncological referrals. Also in relation to the neruological inflammatory condition known as Arachnoiditis.</w:t>
      </w:r>
    </w:p>
    <w:p w14:paraId="3F2B287F" w14:textId="15714D33" w:rsidR="004A2673" w:rsidRPr="004A2673" w:rsidRDefault="004A2673" w:rsidP="004A2673">
      <w:pPr>
        <w:pStyle w:val="ListParagraph"/>
        <w:numPr>
          <w:ilvl w:val="0"/>
          <w:numId w:val="20"/>
        </w:numPr>
        <w:rPr>
          <w:rFonts w:ascii="Verdana" w:hAnsi="Verdana"/>
          <w:b/>
          <w:bCs/>
          <w:noProof/>
          <w:sz w:val="22"/>
          <w:szCs w:val="22"/>
        </w:rPr>
      </w:pPr>
      <w:r w:rsidRPr="004A2673">
        <w:rPr>
          <w:rFonts w:ascii="Verdana" w:hAnsi="Verdana"/>
          <w:b/>
          <w:bCs/>
          <w:noProof/>
          <w:sz w:val="22"/>
          <w:szCs w:val="22"/>
        </w:rPr>
        <w:t>Arachnoiditis Recognition and Management 1.1. What is the SBU's official diagnostic and treatment pathway for arachnoiditis, including all related clinical procedures, and how is this documented in patient records?</w:t>
      </w:r>
      <w:r>
        <w:rPr>
          <w:rFonts w:ascii="Verdana" w:hAnsi="Verdana"/>
          <w:b/>
          <w:bCs/>
          <w:noProof/>
          <w:sz w:val="22"/>
          <w:szCs w:val="22"/>
        </w:rPr>
        <w:br/>
      </w:r>
    </w:p>
    <w:p w14:paraId="75BD5A2A" w14:textId="4C02189E" w:rsidR="004A2673" w:rsidRPr="004A2673" w:rsidRDefault="004A2673" w:rsidP="004A2673">
      <w:pPr>
        <w:pStyle w:val="ListParagraph"/>
        <w:numPr>
          <w:ilvl w:val="1"/>
          <w:numId w:val="21"/>
        </w:numPr>
        <w:rPr>
          <w:rFonts w:ascii="Verdana" w:hAnsi="Verdana"/>
          <w:b/>
          <w:bCs/>
          <w:noProof/>
          <w:sz w:val="22"/>
          <w:szCs w:val="22"/>
        </w:rPr>
      </w:pPr>
      <w:r w:rsidRPr="004A2673">
        <w:rPr>
          <w:rFonts w:ascii="Verdana" w:hAnsi="Verdana"/>
          <w:b/>
          <w:bCs/>
          <w:noProof/>
          <w:sz w:val="22"/>
          <w:szCs w:val="22"/>
        </w:rPr>
        <w:t>What are the treatment protocols followed by SBU for arachnoiditis? Please provide details on the recommended medical treatments, surgeries, pain management strategies, and any alternative therapies used.</w:t>
      </w:r>
    </w:p>
    <w:p w14:paraId="7C38E8C7" w14:textId="76672192" w:rsidR="004A2673" w:rsidRPr="004A2673" w:rsidRDefault="004A2673" w:rsidP="004A2673">
      <w:pPr>
        <w:pStyle w:val="ListParagraph"/>
        <w:numPr>
          <w:ilvl w:val="1"/>
          <w:numId w:val="21"/>
        </w:numPr>
        <w:rPr>
          <w:rFonts w:ascii="Verdana" w:hAnsi="Verdana"/>
          <w:b/>
          <w:bCs/>
          <w:noProof/>
          <w:sz w:val="22"/>
          <w:szCs w:val="22"/>
        </w:rPr>
      </w:pPr>
      <w:r w:rsidRPr="004A2673">
        <w:rPr>
          <w:rFonts w:ascii="Verdana" w:hAnsi="Verdana"/>
          <w:b/>
          <w:bCs/>
          <w:noProof/>
          <w:sz w:val="22"/>
          <w:szCs w:val="22"/>
        </w:rPr>
        <w:t>Are there established protocols for interdisciplinary communication between neurology, orthopaedics, pain management, and spinal specialists when dealing with arachnoiditis cases? Please provide copies of relevant inter-departmental communication or memos on this subject.</w:t>
      </w:r>
    </w:p>
    <w:p w14:paraId="2E470D4F" w14:textId="4270DFD2" w:rsidR="004A2673" w:rsidRPr="004A2673" w:rsidRDefault="004A2673" w:rsidP="004A2673">
      <w:pPr>
        <w:pStyle w:val="ListParagraph"/>
        <w:numPr>
          <w:ilvl w:val="1"/>
          <w:numId w:val="21"/>
        </w:numPr>
        <w:rPr>
          <w:rFonts w:ascii="Verdana" w:hAnsi="Verdana"/>
          <w:b/>
          <w:bCs/>
          <w:noProof/>
          <w:sz w:val="22"/>
          <w:szCs w:val="22"/>
        </w:rPr>
      </w:pPr>
      <w:r w:rsidRPr="004A2673">
        <w:rPr>
          <w:rFonts w:ascii="Verdana" w:hAnsi="Verdana"/>
          <w:b/>
          <w:bCs/>
          <w:noProof/>
          <w:sz w:val="22"/>
          <w:szCs w:val="22"/>
        </w:rPr>
        <w:t>How many cases of arachnoiditis have been treated by SBU in the past 5 years? Please provide an annual breakdown by department (neurology, orthopaedics, etc.) and the number of patients involved.</w:t>
      </w:r>
    </w:p>
    <w:p w14:paraId="76D662A4" w14:textId="246FC651" w:rsidR="004A2673" w:rsidRPr="004A2673" w:rsidRDefault="004A2673" w:rsidP="004A2673">
      <w:pPr>
        <w:pStyle w:val="ListParagraph"/>
        <w:numPr>
          <w:ilvl w:val="1"/>
          <w:numId w:val="21"/>
        </w:numPr>
        <w:rPr>
          <w:rFonts w:ascii="Verdana" w:hAnsi="Verdana"/>
          <w:b/>
          <w:bCs/>
          <w:noProof/>
          <w:sz w:val="22"/>
          <w:szCs w:val="22"/>
        </w:rPr>
      </w:pPr>
      <w:r w:rsidRPr="004A2673">
        <w:rPr>
          <w:rFonts w:ascii="Verdana" w:hAnsi="Verdana"/>
          <w:b/>
          <w:bCs/>
          <w:noProof/>
          <w:sz w:val="22"/>
          <w:szCs w:val="22"/>
        </w:rPr>
        <w:t>Are there cases where a patient presenting with symptoms of arachnoiditis was misdiagnosed or failed to receive appropriate treatment within the required time frame? Please provide anonymised details of such cases (including the reasons behind the delay) for the past 5 years.</w:t>
      </w:r>
    </w:p>
    <w:p w14:paraId="199330B5" w14:textId="6A49DE2A" w:rsidR="004A2673" w:rsidRPr="004A2673" w:rsidRDefault="004A2673" w:rsidP="004A2673">
      <w:pPr>
        <w:pStyle w:val="ListParagraph"/>
        <w:numPr>
          <w:ilvl w:val="1"/>
          <w:numId w:val="21"/>
        </w:numPr>
        <w:rPr>
          <w:rFonts w:ascii="Verdana" w:hAnsi="Verdana"/>
          <w:b/>
          <w:bCs/>
          <w:noProof/>
          <w:sz w:val="22"/>
          <w:szCs w:val="22"/>
        </w:rPr>
      </w:pPr>
      <w:r w:rsidRPr="004A2673">
        <w:rPr>
          <w:rFonts w:ascii="Verdana" w:hAnsi="Verdana"/>
          <w:b/>
          <w:bCs/>
          <w:noProof/>
          <w:sz w:val="22"/>
          <w:szCs w:val="22"/>
        </w:rPr>
        <w:t>Please provide internal training materials, meeting minutes, or any documentation showing how SBU staff are educated about arachnoiditis, including its long-term implications for patients.</w:t>
      </w:r>
    </w:p>
    <w:p w14:paraId="3EC03E6F" w14:textId="65219195" w:rsidR="004A2673" w:rsidRPr="004A2673" w:rsidRDefault="004A2673" w:rsidP="004A2673">
      <w:pPr>
        <w:pStyle w:val="ListParagraph"/>
        <w:numPr>
          <w:ilvl w:val="1"/>
          <w:numId w:val="21"/>
        </w:numPr>
        <w:rPr>
          <w:rFonts w:ascii="Verdana" w:hAnsi="Verdana"/>
          <w:b/>
          <w:bCs/>
          <w:noProof/>
          <w:sz w:val="22"/>
          <w:szCs w:val="22"/>
        </w:rPr>
      </w:pPr>
      <w:r w:rsidRPr="004A2673">
        <w:rPr>
          <w:rFonts w:ascii="Verdana" w:hAnsi="Verdana"/>
          <w:b/>
          <w:bCs/>
          <w:noProof/>
          <w:sz w:val="22"/>
          <w:szCs w:val="22"/>
        </w:rPr>
        <w:t>What evidence does SBU have to show that arachnoiditis is recognised as a condition that could significantly impact a patient’s life expectancy or quality of life?</w:t>
      </w:r>
    </w:p>
    <w:p w14:paraId="70280861" w14:textId="77777777" w:rsidR="004A2673" w:rsidRPr="004A2673" w:rsidRDefault="004A2673" w:rsidP="004A2673">
      <w:pPr>
        <w:rPr>
          <w:rFonts w:ascii="Verdana" w:hAnsi="Verdana"/>
          <w:b/>
          <w:bCs/>
          <w:noProof/>
          <w:sz w:val="22"/>
          <w:szCs w:val="22"/>
        </w:rPr>
      </w:pPr>
    </w:p>
    <w:p w14:paraId="4AD66C32" w14:textId="651F0564" w:rsidR="004A2673" w:rsidRPr="004A2673" w:rsidRDefault="004A2673" w:rsidP="004A2673">
      <w:pPr>
        <w:pStyle w:val="ListParagraph"/>
        <w:numPr>
          <w:ilvl w:val="0"/>
          <w:numId w:val="20"/>
        </w:numPr>
        <w:rPr>
          <w:rFonts w:ascii="Verdana" w:hAnsi="Verdana"/>
          <w:b/>
          <w:bCs/>
          <w:noProof/>
          <w:sz w:val="22"/>
          <w:szCs w:val="22"/>
        </w:rPr>
      </w:pPr>
      <w:r w:rsidRPr="004A2673">
        <w:rPr>
          <w:rFonts w:ascii="Verdana" w:hAnsi="Verdana"/>
          <w:b/>
          <w:bCs/>
          <w:noProof/>
          <w:sz w:val="22"/>
          <w:szCs w:val="22"/>
        </w:rPr>
        <w:t>Neoplastic Syndromes and Cancer Pathways</w:t>
      </w:r>
    </w:p>
    <w:p w14:paraId="1F0196DA" w14:textId="77777777" w:rsidR="004A2673" w:rsidRPr="004A2673" w:rsidRDefault="004A2673" w:rsidP="004A2673">
      <w:pPr>
        <w:rPr>
          <w:rFonts w:ascii="Verdana" w:hAnsi="Verdana"/>
          <w:b/>
          <w:bCs/>
          <w:noProof/>
          <w:sz w:val="22"/>
          <w:szCs w:val="22"/>
        </w:rPr>
      </w:pPr>
    </w:p>
    <w:p w14:paraId="584F6EFB" w14:textId="77777777"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lastRenderedPageBreak/>
        <w:t>What clinical guidelines does SBU follow to evaluate and diagnose patients suspected of having neoplastic syndromes (including cancer), and how does this align with NICE guidelines and national cancer referral protocols?</w:t>
      </w:r>
    </w:p>
    <w:p w14:paraId="0CCD5B72" w14:textId="77777777"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t>How does SBU track and document cases where patients present with multiple red-flag symptoms but are not referred for oncology consultations? Provide any internal documents or case studies detailing this.</w:t>
      </w:r>
    </w:p>
    <w:p w14:paraId="66CC2136" w14:textId="77777777"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t>What are the specific criteria used by SBU to triage urgent cancer referrals? Is there a prioritisation system in place, and if so, what percentage of referrals meet urgent criteria versus standard?</w:t>
      </w:r>
    </w:p>
    <w:p w14:paraId="74A87E09" w14:textId="77777777"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t>How does SBU manage delays in oncology referrals? Please provide documented instances from the last 2 years where cancer referrals were delayed and the reasons for these delays.</w:t>
      </w:r>
    </w:p>
    <w:p w14:paraId="5C4FE02C" w14:textId="77777777"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t>What is SBU’s policy for using patient-provided evidence (such as private biopsy results, MRI scans, etc.) in cancer diagnosis and treatment?</w:t>
      </w:r>
    </w:p>
    <w:p w14:paraId="3CE97962" w14:textId="77777777"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t>Please provide data showing the number of patients who received delayed diagnoses of cancer, including any financial implications for the trust, such as medical costs incurred due to late diagnosis.</w:t>
      </w:r>
    </w:p>
    <w:p w14:paraId="740CCD85" w14:textId="19F95D3C" w:rsidR="004A2673" w:rsidRDefault="004A2673" w:rsidP="004A2673">
      <w:pPr>
        <w:pStyle w:val="ListParagraph"/>
        <w:numPr>
          <w:ilvl w:val="0"/>
          <w:numId w:val="22"/>
        </w:numPr>
        <w:rPr>
          <w:rFonts w:ascii="Verdana" w:hAnsi="Verdana"/>
          <w:b/>
          <w:bCs/>
          <w:noProof/>
          <w:sz w:val="22"/>
          <w:szCs w:val="22"/>
        </w:rPr>
      </w:pPr>
      <w:r w:rsidRPr="004A2673">
        <w:rPr>
          <w:rFonts w:ascii="Verdana" w:hAnsi="Verdana"/>
          <w:b/>
          <w:bCs/>
          <w:noProof/>
          <w:sz w:val="22"/>
          <w:szCs w:val="22"/>
        </w:rPr>
        <w:t>What percentage of oncology referrals through SBU do not meet NICE guidelines within the specified timelines for cancer referral?</w:t>
      </w:r>
    </w:p>
    <w:p w14:paraId="10210E05" w14:textId="77777777" w:rsidR="004A2673" w:rsidRPr="004A2673" w:rsidRDefault="004A2673" w:rsidP="004A2673">
      <w:pPr>
        <w:pStyle w:val="ListParagraph"/>
        <w:ind w:left="1225"/>
        <w:rPr>
          <w:rFonts w:ascii="Verdana" w:hAnsi="Verdana"/>
          <w:b/>
          <w:bCs/>
          <w:noProof/>
          <w:sz w:val="22"/>
          <w:szCs w:val="22"/>
        </w:rPr>
      </w:pPr>
    </w:p>
    <w:p w14:paraId="5989FC69" w14:textId="741CF1B3" w:rsidR="004A2673" w:rsidRPr="004A2673" w:rsidRDefault="004A2673" w:rsidP="004A2673">
      <w:pPr>
        <w:pStyle w:val="ListParagraph"/>
        <w:numPr>
          <w:ilvl w:val="0"/>
          <w:numId w:val="20"/>
        </w:numPr>
        <w:rPr>
          <w:rFonts w:ascii="Verdana" w:hAnsi="Verdana"/>
          <w:b/>
          <w:bCs/>
          <w:noProof/>
          <w:sz w:val="22"/>
          <w:szCs w:val="22"/>
        </w:rPr>
      </w:pPr>
      <w:r w:rsidRPr="004A2673">
        <w:rPr>
          <w:rFonts w:ascii="Verdana" w:hAnsi="Verdana"/>
          <w:b/>
          <w:bCs/>
          <w:noProof/>
          <w:sz w:val="22"/>
          <w:szCs w:val="22"/>
        </w:rPr>
        <w:t>Red Flag Symptoms and Cancer Delays</w:t>
      </w:r>
      <w:r>
        <w:rPr>
          <w:rFonts w:ascii="Verdana" w:hAnsi="Verdana"/>
          <w:b/>
          <w:bCs/>
          <w:noProof/>
          <w:sz w:val="22"/>
          <w:szCs w:val="22"/>
        </w:rPr>
        <w:br/>
      </w:r>
    </w:p>
    <w:p w14:paraId="19030EB9" w14:textId="6BEC58F1" w:rsidR="004A2673" w:rsidRDefault="004A2673" w:rsidP="004A2673">
      <w:pPr>
        <w:pStyle w:val="ListParagraph"/>
        <w:numPr>
          <w:ilvl w:val="0"/>
          <w:numId w:val="23"/>
        </w:numPr>
        <w:rPr>
          <w:rFonts w:ascii="Verdana" w:hAnsi="Verdana"/>
          <w:b/>
          <w:bCs/>
          <w:noProof/>
          <w:sz w:val="22"/>
          <w:szCs w:val="22"/>
        </w:rPr>
      </w:pPr>
      <w:r w:rsidRPr="004A2673">
        <w:rPr>
          <w:rFonts w:ascii="Verdana" w:hAnsi="Verdana"/>
          <w:b/>
          <w:bCs/>
          <w:noProof/>
          <w:sz w:val="22"/>
          <w:szCs w:val="22"/>
        </w:rPr>
        <w:t>What is SBU's official policy regarding the recognition and referral of patients who present with red-flag symptoms for cancers (e.g., unexplained weight loss, persistent fatigue, etc.)? Please provide a copy of this policy and any updates to it from the last 2 years.</w:t>
      </w:r>
    </w:p>
    <w:p w14:paraId="42E87AB0" w14:textId="77777777" w:rsidR="004A2673" w:rsidRDefault="004A2673" w:rsidP="004A2673">
      <w:pPr>
        <w:pStyle w:val="ListParagraph"/>
        <w:numPr>
          <w:ilvl w:val="0"/>
          <w:numId w:val="23"/>
        </w:numPr>
        <w:rPr>
          <w:rFonts w:ascii="Verdana" w:hAnsi="Verdana"/>
          <w:b/>
          <w:bCs/>
          <w:noProof/>
          <w:sz w:val="22"/>
          <w:szCs w:val="22"/>
        </w:rPr>
      </w:pPr>
      <w:r w:rsidRPr="004A2673">
        <w:rPr>
          <w:rFonts w:ascii="Verdana" w:hAnsi="Verdana"/>
          <w:b/>
          <w:bCs/>
          <w:noProof/>
          <w:sz w:val="22"/>
          <w:szCs w:val="22"/>
        </w:rPr>
        <w:t>When a patient reports cancer red-flag symptoms, what are the expected timelines for referral to an oncologist? How are these timelines monitored and enforced?</w:t>
      </w:r>
    </w:p>
    <w:p w14:paraId="2182C2CB" w14:textId="77777777" w:rsidR="004A2673" w:rsidRDefault="004A2673" w:rsidP="004A2673">
      <w:pPr>
        <w:pStyle w:val="ListParagraph"/>
        <w:numPr>
          <w:ilvl w:val="0"/>
          <w:numId w:val="23"/>
        </w:numPr>
        <w:rPr>
          <w:rFonts w:ascii="Verdana" w:hAnsi="Verdana"/>
          <w:b/>
          <w:bCs/>
          <w:noProof/>
          <w:sz w:val="22"/>
          <w:szCs w:val="22"/>
        </w:rPr>
      </w:pPr>
      <w:r w:rsidRPr="004A2673">
        <w:rPr>
          <w:rFonts w:ascii="Verdana" w:hAnsi="Verdana"/>
          <w:b/>
          <w:bCs/>
          <w:noProof/>
          <w:sz w:val="22"/>
          <w:szCs w:val="22"/>
        </w:rPr>
        <w:t>How many patients within SBU who presented with cancer red-flag symptoms in 2024 were not referred to oncology in a timely manner? Please provide anonymised details of these cases, the delays, and the consequences.</w:t>
      </w:r>
    </w:p>
    <w:p w14:paraId="17489285" w14:textId="45A9E353" w:rsidR="004A2673" w:rsidRPr="004A2673" w:rsidRDefault="004A2673" w:rsidP="004A2673">
      <w:pPr>
        <w:pStyle w:val="ListParagraph"/>
        <w:numPr>
          <w:ilvl w:val="0"/>
          <w:numId w:val="23"/>
        </w:numPr>
        <w:rPr>
          <w:rFonts w:ascii="Verdana" w:hAnsi="Verdana"/>
          <w:b/>
          <w:bCs/>
          <w:noProof/>
          <w:sz w:val="22"/>
          <w:szCs w:val="22"/>
        </w:rPr>
      </w:pPr>
      <w:r w:rsidRPr="004A2673">
        <w:rPr>
          <w:rFonts w:ascii="Verdana" w:hAnsi="Verdana"/>
          <w:b/>
          <w:bCs/>
          <w:noProof/>
          <w:sz w:val="22"/>
          <w:szCs w:val="22"/>
        </w:rPr>
        <w:t>What additional protocols or referral processes are followed when a patient exhibits multiple red-flag symptoms simultaneously, such as unexplained weight loss, iron deficiency anaemia, and fatigue?</w:t>
      </w:r>
    </w:p>
    <w:p w14:paraId="5629BF33" w14:textId="77777777" w:rsidR="004A2673" w:rsidRPr="004A2673" w:rsidRDefault="004A2673" w:rsidP="004A2673">
      <w:pPr>
        <w:rPr>
          <w:rFonts w:ascii="Verdana" w:hAnsi="Verdana"/>
          <w:b/>
          <w:bCs/>
          <w:noProof/>
          <w:sz w:val="22"/>
          <w:szCs w:val="22"/>
        </w:rPr>
      </w:pPr>
    </w:p>
    <w:p w14:paraId="75136FF0" w14:textId="0669B47E" w:rsidR="004A2673" w:rsidRPr="004A2673" w:rsidRDefault="004A2673" w:rsidP="004A2673">
      <w:pPr>
        <w:pStyle w:val="ListParagraph"/>
        <w:numPr>
          <w:ilvl w:val="0"/>
          <w:numId w:val="20"/>
        </w:numPr>
        <w:rPr>
          <w:rFonts w:ascii="Verdana" w:hAnsi="Verdana"/>
          <w:b/>
          <w:bCs/>
          <w:noProof/>
          <w:sz w:val="22"/>
          <w:szCs w:val="22"/>
        </w:rPr>
      </w:pPr>
      <w:r w:rsidRPr="004A2673">
        <w:rPr>
          <w:rFonts w:ascii="Verdana" w:hAnsi="Verdana"/>
          <w:b/>
          <w:bCs/>
          <w:noProof/>
          <w:sz w:val="22"/>
          <w:szCs w:val="22"/>
        </w:rPr>
        <w:t>Gastroenterology and Cancer Referrals</w:t>
      </w:r>
      <w:r>
        <w:rPr>
          <w:rFonts w:ascii="Verdana" w:hAnsi="Verdana"/>
          <w:b/>
          <w:bCs/>
          <w:noProof/>
          <w:sz w:val="22"/>
          <w:szCs w:val="22"/>
        </w:rPr>
        <w:br/>
      </w:r>
    </w:p>
    <w:p w14:paraId="0CD8FC42" w14:textId="0DB82190" w:rsidR="004A2673" w:rsidRDefault="004A2673" w:rsidP="004A2673">
      <w:pPr>
        <w:pStyle w:val="ListParagraph"/>
        <w:numPr>
          <w:ilvl w:val="0"/>
          <w:numId w:val="24"/>
        </w:numPr>
        <w:rPr>
          <w:rFonts w:ascii="Verdana" w:hAnsi="Verdana"/>
          <w:b/>
          <w:bCs/>
          <w:noProof/>
          <w:sz w:val="22"/>
          <w:szCs w:val="22"/>
        </w:rPr>
      </w:pPr>
      <w:r w:rsidRPr="004A2673">
        <w:rPr>
          <w:rFonts w:ascii="Verdana" w:hAnsi="Verdana"/>
          <w:b/>
          <w:bCs/>
          <w:noProof/>
          <w:sz w:val="22"/>
          <w:szCs w:val="22"/>
        </w:rPr>
        <w:t>What is the SBU target wait time for an urgent referral to gastroenterology for a patient presenting with iron deficiency anaemia, deranged bloods, and elevated IgA levels?</w:t>
      </w:r>
    </w:p>
    <w:p w14:paraId="6016C8CF" w14:textId="77777777" w:rsidR="004A2673" w:rsidRDefault="004A2673" w:rsidP="004A2673">
      <w:pPr>
        <w:pStyle w:val="ListParagraph"/>
        <w:numPr>
          <w:ilvl w:val="0"/>
          <w:numId w:val="24"/>
        </w:numPr>
        <w:rPr>
          <w:rFonts w:ascii="Verdana" w:hAnsi="Verdana"/>
          <w:b/>
          <w:bCs/>
          <w:noProof/>
          <w:sz w:val="22"/>
          <w:szCs w:val="22"/>
        </w:rPr>
      </w:pPr>
      <w:r w:rsidRPr="004A2673">
        <w:rPr>
          <w:rFonts w:ascii="Verdana" w:hAnsi="Verdana"/>
          <w:b/>
          <w:bCs/>
          <w:noProof/>
          <w:sz w:val="22"/>
          <w:szCs w:val="22"/>
        </w:rPr>
        <w:t>How is a patient’s risk for cancer (e.g., GI cancers) assessed when they present with these symptoms? What referral prioritisation is given to these patients?</w:t>
      </w:r>
    </w:p>
    <w:p w14:paraId="47AAB6EF" w14:textId="77777777" w:rsidR="004A2673" w:rsidRDefault="004A2673" w:rsidP="004A2673">
      <w:pPr>
        <w:pStyle w:val="ListParagraph"/>
        <w:numPr>
          <w:ilvl w:val="0"/>
          <w:numId w:val="24"/>
        </w:numPr>
        <w:rPr>
          <w:rFonts w:ascii="Verdana" w:hAnsi="Verdana"/>
          <w:b/>
          <w:bCs/>
          <w:noProof/>
          <w:sz w:val="22"/>
          <w:szCs w:val="22"/>
        </w:rPr>
      </w:pPr>
      <w:r w:rsidRPr="004A2673">
        <w:rPr>
          <w:rFonts w:ascii="Verdana" w:hAnsi="Verdana"/>
          <w:b/>
          <w:bCs/>
          <w:noProof/>
          <w:sz w:val="22"/>
          <w:szCs w:val="22"/>
        </w:rPr>
        <w:lastRenderedPageBreak/>
        <w:t>How are these cases documented, and what measures are in place to prevent miscommunication or missed referrals within the gastroenterology team?</w:t>
      </w:r>
    </w:p>
    <w:p w14:paraId="42359F6A" w14:textId="77777777" w:rsidR="004A2673" w:rsidRDefault="004A2673" w:rsidP="004A2673">
      <w:pPr>
        <w:pStyle w:val="ListParagraph"/>
        <w:numPr>
          <w:ilvl w:val="0"/>
          <w:numId w:val="24"/>
        </w:numPr>
        <w:rPr>
          <w:rFonts w:ascii="Verdana" w:hAnsi="Verdana"/>
          <w:b/>
          <w:bCs/>
          <w:noProof/>
          <w:sz w:val="22"/>
          <w:szCs w:val="22"/>
        </w:rPr>
      </w:pPr>
      <w:r w:rsidRPr="004A2673">
        <w:rPr>
          <w:rFonts w:ascii="Verdana" w:hAnsi="Verdana"/>
          <w:b/>
          <w:bCs/>
          <w:noProof/>
          <w:sz w:val="22"/>
          <w:szCs w:val="22"/>
        </w:rPr>
        <w:t>How are FIT test results used in the referral process? Are there instances where an additional FIT test result accelerates a referral?</w:t>
      </w:r>
    </w:p>
    <w:p w14:paraId="534D15B8" w14:textId="77777777" w:rsidR="004A2673" w:rsidRDefault="004A2673" w:rsidP="004A2673">
      <w:pPr>
        <w:pStyle w:val="ListParagraph"/>
        <w:numPr>
          <w:ilvl w:val="0"/>
          <w:numId w:val="24"/>
        </w:numPr>
        <w:rPr>
          <w:rFonts w:ascii="Verdana" w:hAnsi="Verdana"/>
          <w:b/>
          <w:bCs/>
          <w:noProof/>
          <w:sz w:val="22"/>
          <w:szCs w:val="22"/>
        </w:rPr>
      </w:pPr>
      <w:r w:rsidRPr="004A2673">
        <w:rPr>
          <w:rFonts w:ascii="Verdana" w:hAnsi="Verdana"/>
          <w:b/>
          <w:bCs/>
          <w:noProof/>
          <w:sz w:val="22"/>
          <w:szCs w:val="22"/>
        </w:rPr>
        <w:t>Please provide statistics showing the current wait times for GI cancer referrals within SBU and the proportion of these patients who experience delays.</w:t>
      </w:r>
    </w:p>
    <w:p w14:paraId="42636C19" w14:textId="136CE2FF" w:rsidR="004A2673" w:rsidRPr="004A2673" w:rsidRDefault="004A2673" w:rsidP="004A2673">
      <w:pPr>
        <w:pStyle w:val="ListParagraph"/>
        <w:numPr>
          <w:ilvl w:val="0"/>
          <w:numId w:val="24"/>
        </w:numPr>
        <w:rPr>
          <w:rFonts w:ascii="Verdana" w:hAnsi="Verdana"/>
          <w:b/>
          <w:bCs/>
          <w:noProof/>
          <w:sz w:val="22"/>
          <w:szCs w:val="22"/>
        </w:rPr>
      </w:pPr>
      <w:r w:rsidRPr="004A2673">
        <w:rPr>
          <w:rFonts w:ascii="Verdana" w:hAnsi="Verdana"/>
          <w:b/>
          <w:bCs/>
          <w:noProof/>
          <w:sz w:val="22"/>
          <w:szCs w:val="22"/>
        </w:rPr>
        <w:t>What are the procedures for biopsy prioritisation in suspected GI cancer patients? Are there delays in biopsy processing for suspected GI cancer? Please provide anonymised data from the last 2 years.</w:t>
      </w:r>
    </w:p>
    <w:p w14:paraId="7B36E0D5" w14:textId="77777777" w:rsidR="004A2673" w:rsidRPr="004A2673" w:rsidRDefault="004A2673" w:rsidP="004A2673">
      <w:pPr>
        <w:rPr>
          <w:rFonts w:ascii="Verdana" w:hAnsi="Verdana"/>
          <w:b/>
          <w:bCs/>
          <w:noProof/>
          <w:sz w:val="22"/>
          <w:szCs w:val="22"/>
        </w:rPr>
      </w:pPr>
    </w:p>
    <w:p w14:paraId="04E3BADD" w14:textId="60D37993" w:rsidR="004A2673" w:rsidRPr="004A2673" w:rsidRDefault="004A2673" w:rsidP="004A2673">
      <w:pPr>
        <w:pStyle w:val="ListParagraph"/>
        <w:numPr>
          <w:ilvl w:val="0"/>
          <w:numId w:val="20"/>
        </w:numPr>
        <w:rPr>
          <w:rFonts w:ascii="Verdana" w:hAnsi="Verdana"/>
          <w:b/>
          <w:bCs/>
          <w:noProof/>
          <w:sz w:val="22"/>
          <w:szCs w:val="22"/>
        </w:rPr>
      </w:pPr>
      <w:r w:rsidRPr="004A2673">
        <w:rPr>
          <w:rFonts w:ascii="Verdana" w:hAnsi="Verdana"/>
          <w:b/>
          <w:bCs/>
          <w:noProof/>
          <w:sz w:val="22"/>
          <w:szCs w:val="22"/>
        </w:rPr>
        <w:t>Accountability for Delays and Mismanagement</w:t>
      </w:r>
      <w:r>
        <w:rPr>
          <w:rFonts w:ascii="Verdana" w:hAnsi="Verdana"/>
          <w:b/>
          <w:bCs/>
          <w:noProof/>
          <w:sz w:val="22"/>
          <w:szCs w:val="22"/>
        </w:rPr>
        <w:br/>
      </w:r>
    </w:p>
    <w:p w14:paraId="2F847452" w14:textId="1C9B8F1B" w:rsidR="004A2673" w:rsidRPr="004A2673" w:rsidRDefault="004A2673" w:rsidP="004A2673">
      <w:pPr>
        <w:pStyle w:val="ListParagraph"/>
        <w:numPr>
          <w:ilvl w:val="0"/>
          <w:numId w:val="25"/>
        </w:numPr>
        <w:rPr>
          <w:rFonts w:ascii="Verdana" w:hAnsi="Verdana"/>
          <w:b/>
          <w:bCs/>
          <w:noProof/>
          <w:sz w:val="22"/>
          <w:szCs w:val="22"/>
        </w:rPr>
      </w:pPr>
      <w:r w:rsidRPr="004A2673">
        <w:rPr>
          <w:rFonts w:ascii="Verdana" w:hAnsi="Verdana"/>
          <w:b/>
          <w:bCs/>
          <w:noProof/>
          <w:sz w:val="22"/>
          <w:szCs w:val="22"/>
        </w:rPr>
        <w:t>What internal mechanisms exist within SBU for tracking and addressing delays in cancer referrals and diagnoses? How are these delays documented, and what corrective measures are taken?</w:t>
      </w:r>
    </w:p>
    <w:p w14:paraId="076F44EF" w14:textId="7064FC57" w:rsidR="004A2673" w:rsidRPr="004A2673" w:rsidRDefault="004A2673" w:rsidP="004A2673">
      <w:pPr>
        <w:pStyle w:val="ListParagraph"/>
        <w:numPr>
          <w:ilvl w:val="0"/>
          <w:numId w:val="25"/>
        </w:numPr>
        <w:rPr>
          <w:rFonts w:ascii="Verdana" w:hAnsi="Verdana"/>
          <w:b/>
          <w:bCs/>
          <w:noProof/>
          <w:sz w:val="22"/>
          <w:szCs w:val="22"/>
        </w:rPr>
      </w:pPr>
      <w:r w:rsidRPr="004A2673">
        <w:rPr>
          <w:rFonts w:ascii="Verdana" w:hAnsi="Verdana"/>
          <w:b/>
          <w:bCs/>
          <w:noProof/>
          <w:sz w:val="22"/>
          <w:szCs w:val="22"/>
        </w:rPr>
        <w:t>How many complaints were filed in 2024 regarding delays in cancer diagnosis? How many of these complaints were upheld? Please provide anonymised details for all complaints.</w:t>
      </w:r>
    </w:p>
    <w:p w14:paraId="52B441D1" w14:textId="1DF1AA20" w:rsidR="004A2673" w:rsidRPr="004A2673" w:rsidRDefault="004A2673" w:rsidP="004A2673">
      <w:pPr>
        <w:pStyle w:val="ListParagraph"/>
        <w:numPr>
          <w:ilvl w:val="0"/>
          <w:numId w:val="25"/>
        </w:numPr>
        <w:rPr>
          <w:rFonts w:ascii="Verdana" w:hAnsi="Verdana"/>
          <w:b/>
          <w:bCs/>
          <w:noProof/>
          <w:sz w:val="22"/>
          <w:szCs w:val="22"/>
        </w:rPr>
      </w:pPr>
      <w:r w:rsidRPr="004A2673">
        <w:rPr>
          <w:rFonts w:ascii="Verdana" w:hAnsi="Verdana"/>
          <w:b/>
          <w:bCs/>
          <w:noProof/>
          <w:sz w:val="22"/>
          <w:szCs w:val="22"/>
        </w:rPr>
        <w:t>What is SBU’s policy on accountability for missed diagnoses or delayed cancer referrals? Are individual staff members held accountable for delays in diagnosing cancer?</w:t>
      </w:r>
    </w:p>
    <w:p w14:paraId="684DC338" w14:textId="516B9BBB" w:rsidR="004A2673" w:rsidRPr="004A2673" w:rsidRDefault="004A2673" w:rsidP="004A2673">
      <w:pPr>
        <w:pStyle w:val="ListParagraph"/>
        <w:numPr>
          <w:ilvl w:val="0"/>
          <w:numId w:val="25"/>
        </w:numPr>
        <w:rPr>
          <w:rFonts w:ascii="Verdana" w:hAnsi="Verdana"/>
          <w:b/>
          <w:bCs/>
          <w:noProof/>
          <w:sz w:val="22"/>
          <w:szCs w:val="22"/>
        </w:rPr>
      </w:pPr>
      <w:r w:rsidRPr="004A2673">
        <w:rPr>
          <w:rFonts w:ascii="Verdana" w:hAnsi="Verdana"/>
          <w:b/>
          <w:bCs/>
          <w:noProof/>
          <w:sz w:val="22"/>
          <w:szCs w:val="22"/>
        </w:rPr>
        <w:t>Please provide data on the number of cases where a patient was misdiagnosed or failed to be referred for cancer treatment in a timely manner, resulting in worsened outcomes.</w:t>
      </w:r>
    </w:p>
    <w:p w14:paraId="0A472273" w14:textId="77777777" w:rsidR="004A2673" w:rsidRPr="004A2673" w:rsidRDefault="004A2673" w:rsidP="004A2673">
      <w:pPr>
        <w:rPr>
          <w:rFonts w:ascii="Verdana" w:hAnsi="Verdana"/>
          <w:b/>
          <w:bCs/>
          <w:noProof/>
          <w:sz w:val="22"/>
          <w:szCs w:val="22"/>
        </w:rPr>
      </w:pPr>
    </w:p>
    <w:p w14:paraId="5A08186C" w14:textId="2F282660" w:rsidR="004A2673" w:rsidRPr="00034F64" w:rsidRDefault="004A2673" w:rsidP="00034F64">
      <w:pPr>
        <w:pStyle w:val="ListParagraph"/>
        <w:numPr>
          <w:ilvl w:val="0"/>
          <w:numId w:val="20"/>
        </w:numPr>
        <w:rPr>
          <w:rFonts w:ascii="Verdana" w:hAnsi="Verdana"/>
          <w:b/>
          <w:bCs/>
          <w:noProof/>
          <w:sz w:val="22"/>
          <w:szCs w:val="22"/>
        </w:rPr>
      </w:pPr>
      <w:r w:rsidRPr="004A2673">
        <w:rPr>
          <w:rFonts w:ascii="Verdana" w:hAnsi="Verdana"/>
          <w:b/>
          <w:bCs/>
          <w:noProof/>
          <w:sz w:val="22"/>
          <w:szCs w:val="22"/>
        </w:rPr>
        <w:t>Biopsy Turnaround and Priority Systems</w:t>
      </w:r>
      <w:r w:rsidR="00034F64">
        <w:rPr>
          <w:rFonts w:ascii="Verdana" w:hAnsi="Verdana"/>
          <w:b/>
          <w:bCs/>
          <w:noProof/>
          <w:sz w:val="22"/>
          <w:szCs w:val="22"/>
        </w:rPr>
        <w:br/>
      </w:r>
    </w:p>
    <w:p w14:paraId="039DD169" w14:textId="0EE96984" w:rsidR="004A2673" w:rsidRPr="00034F64" w:rsidRDefault="004A2673" w:rsidP="00034F64">
      <w:pPr>
        <w:pStyle w:val="ListParagraph"/>
        <w:numPr>
          <w:ilvl w:val="0"/>
          <w:numId w:val="26"/>
        </w:numPr>
        <w:rPr>
          <w:rFonts w:ascii="Verdana" w:hAnsi="Verdana"/>
          <w:b/>
          <w:bCs/>
          <w:noProof/>
          <w:sz w:val="22"/>
          <w:szCs w:val="22"/>
        </w:rPr>
      </w:pPr>
      <w:r w:rsidRPr="00034F64">
        <w:rPr>
          <w:rFonts w:ascii="Verdana" w:hAnsi="Verdana"/>
          <w:b/>
          <w:bCs/>
          <w:noProof/>
          <w:sz w:val="22"/>
          <w:szCs w:val="22"/>
        </w:rPr>
        <w:t>What is the average turnaround time for biopsies in suspected cancer cases within SBU?</w:t>
      </w:r>
    </w:p>
    <w:p w14:paraId="58776B61" w14:textId="2B81B7CF" w:rsidR="004A2673" w:rsidRPr="00034F64" w:rsidRDefault="004A2673" w:rsidP="00034F64">
      <w:pPr>
        <w:pStyle w:val="ListParagraph"/>
        <w:numPr>
          <w:ilvl w:val="0"/>
          <w:numId w:val="26"/>
        </w:numPr>
        <w:rPr>
          <w:rFonts w:ascii="Verdana" w:hAnsi="Verdana"/>
          <w:b/>
          <w:bCs/>
          <w:noProof/>
          <w:sz w:val="22"/>
          <w:szCs w:val="22"/>
        </w:rPr>
      </w:pPr>
      <w:r w:rsidRPr="00034F64">
        <w:rPr>
          <w:rFonts w:ascii="Verdana" w:hAnsi="Verdana"/>
          <w:b/>
          <w:bCs/>
          <w:noProof/>
          <w:sz w:val="22"/>
          <w:szCs w:val="22"/>
        </w:rPr>
        <w:t>Is there a prioritisation system in place for processing cancer-related biopsies, and how does this work?</w:t>
      </w:r>
    </w:p>
    <w:p w14:paraId="785F57F4" w14:textId="6FEFC720" w:rsidR="004A2673" w:rsidRPr="00034F64" w:rsidRDefault="004A2673" w:rsidP="00034F64">
      <w:pPr>
        <w:pStyle w:val="ListParagraph"/>
        <w:numPr>
          <w:ilvl w:val="0"/>
          <w:numId w:val="26"/>
        </w:numPr>
        <w:rPr>
          <w:rFonts w:ascii="Verdana" w:hAnsi="Verdana"/>
          <w:b/>
          <w:bCs/>
          <w:noProof/>
          <w:sz w:val="22"/>
          <w:szCs w:val="22"/>
        </w:rPr>
      </w:pPr>
      <w:r w:rsidRPr="00034F64">
        <w:rPr>
          <w:rFonts w:ascii="Verdana" w:hAnsi="Verdana"/>
          <w:b/>
          <w:bCs/>
          <w:noProof/>
          <w:sz w:val="22"/>
          <w:szCs w:val="22"/>
        </w:rPr>
        <w:t>How many instances of delayed biopsy results have occurred in 2024? What were the reasons for these delays, and what corrective actions were taken?</w:t>
      </w:r>
    </w:p>
    <w:p w14:paraId="7CBE252C" w14:textId="77777777" w:rsidR="004A2673" w:rsidRPr="004A2673" w:rsidRDefault="004A2673" w:rsidP="004A2673">
      <w:pPr>
        <w:rPr>
          <w:rFonts w:ascii="Verdana" w:hAnsi="Verdana"/>
          <w:b/>
          <w:bCs/>
          <w:noProof/>
          <w:sz w:val="22"/>
          <w:szCs w:val="22"/>
        </w:rPr>
      </w:pPr>
    </w:p>
    <w:p w14:paraId="25A4FACD" w14:textId="4C5BBFCB" w:rsidR="004A2673" w:rsidRPr="00034F64" w:rsidRDefault="004A2673" w:rsidP="00034F64">
      <w:pPr>
        <w:pStyle w:val="ListParagraph"/>
        <w:numPr>
          <w:ilvl w:val="0"/>
          <w:numId w:val="20"/>
        </w:numPr>
        <w:rPr>
          <w:rFonts w:ascii="Verdana" w:hAnsi="Verdana"/>
          <w:b/>
          <w:bCs/>
          <w:noProof/>
          <w:sz w:val="22"/>
          <w:szCs w:val="22"/>
        </w:rPr>
      </w:pPr>
      <w:r w:rsidRPr="00034F64">
        <w:rPr>
          <w:rFonts w:ascii="Verdana" w:hAnsi="Verdana"/>
          <w:b/>
          <w:bCs/>
          <w:noProof/>
          <w:sz w:val="22"/>
          <w:szCs w:val="22"/>
        </w:rPr>
        <w:t>Data Protection and Transparency</w:t>
      </w:r>
    </w:p>
    <w:p w14:paraId="45366104" w14:textId="77777777" w:rsidR="004A2673" w:rsidRPr="004A2673" w:rsidRDefault="004A2673" w:rsidP="00034F64">
      <w:pPr>
        <w:ind w:left="0"/>
        <w:rPr>
          <w:rFonts w:ascii="Verdana" w:hAnsi="Verdana"/>
          <w:b/>
          <w:bCs/>
          <w:noProof/>
          <w:sz w:val="22"/>
          <w:szCs w:val="22"/>
        </w:rPr>
      </w:pPr>
    </w:p>
    <w:p w14:paraId="5234A86D" w14:textId="757B05A0" w:rsidR="004A2673" w:rsidRPr="00034F64" w:rsidRDefault="004A2673" w:rsidP="00034F64">
      <w:pPr>
        <w:pStyle w:val="ListParagraph"/>
        <w:numPr>
          <w:ilvl w:val="0"/>
          <w:numId w:val="27"/>
        </w:numPr>
        <w:rPr>
          <w:rFonts w:ascii="Verdana" w:hAnsi="Verdana"/>
          <w:b/>
          <w:bCs/>
          <w:noProof/>
          <w:sz w:val="22"/>
          <w:szCs w:val="22"/>
        </w:rPr>
      </w:pPr>
      <w:r w:rsidRPr="00034F64">
        <w:rPr>
          <w:rFonts w:ascii="Verdana" w:hAnsi="Verdana"/>
          <w:b/>
          <w:bCs/>
          <w:noProof/>
          <w:sz w:val="22"/>
          <w:szCs w:val="22"/>
        </w:rPr>
        <w:t>What systems are in place to protect patient data from being altered or deleted without proper authorisation, especially concerning cancer diagnoses and referral data?</w:t>
      </w:r>
    </w:p>
    <w:p w14:paraId="492E2C7F" w14:textId="6BA89A0C" w:rsidR="004A2673" w:rsidRPr="00034F64" w:rsidRDefault="004A2673" w:rsidP="00034F64">
      <w:pPr>
        <w:pStyle w:val="ListParagraph"/>
        <w:numPr>
          <w:ilvl w:val="0"/>
          <w:numId w:val="27"/>
        </w:numPr>
        <w:rPr>
          <w:rFonts w:ascii="Verdana" w:hAnsi="Verdana"/>
          <w:b/>
          <w:bCs/>
          <w:noProof/>
          <w:sz w:val="22"/>
          <w:szCs w:val="22"/>
        </w:rPr>
      </w:pPr>
      <w:r w:rsidRPr="00034F64">
        <w:rPr>
          <w:rFonts w:ascii="Verdana" w:hAnsi="Verdana"/>
          <w:b/>
          <w:bCs/>
          <w:noProof/>
          <w:sz w:val="22"/>
          <w:szCs w:val="22"/>
        </w:rPr>
        <w:lastRenderedPageBreak/>
        <w:t>What protocols are followed to ensure that patient data, including medical test results, is correctly transferred between departments and that all relevant information is recorded in their electronic health records?</w:t>
      </w:r>
    </w:p>
    <w:p w14:paraId="0B6DE83F" w14:textId="3E2AA0E4" w:rsidR="004A2673" w:rsidRPr="00034F64" w:rsidRDefault="004A2673" w:rsidP="00034F64">
      <w:pPr>
        <w:pStyle w:val="ListParagraph"/>
        <w:numPr>
          <w:ilvl w:val="0"/>
          <w:numId w:val="27"/>
        </w:numPr>
        <w:rPr>
          <w:rFonts w:ascii="Verdana" w:hAnsi="Verdana"/>
          <w:b/>
          <w:bCs/>
          <w:noProof/>
          <w:sz w:val="22"/>
          <w:szCs w:val="22"/>
        </w:rPr>
      </w:pPr>
      <w:r w:rsidRPr="00034F64">
        <w:rPr>
          <w:rFonts w:ascii="Verdana" w:hAnsi="Verdana"/>
          <w:b/>
          <w:bCs/>
          <w:noProof/>
          <w:sz w:val="22"/>
          <w:szCs w:val="22"/>
        </w:rPr>
        <w:t>What measures are in place to ensure transparency in the management of cancer diagnoses, including the timely release of test results, and the sharing of patient data between departments?</w:t>
      </w:r>
    </w:p>
    <w:p w14:paraId="23DF621B" w14:textId="77777777" w:rsidR="00873328" w:rsidRDefault="00873328" w:rsidP="00421E7F">
      <w:pPr>
        <w:rPr>
          <w:rFonts w:ascii="Verdana" w:hAnsi="Verdana"/>
          <w:b/>
          <w:bCs/>
          <w:noProof/>
          <w:sz w:val="22"/>
          <w:szCs w:val="22"/>
        </w:rPr>
      </w:pPr>
    </w:p>
    <w:p w14:paraId="2178A95B" w14:textId="27FD502A" w:rsidR="00873328" w:rsidRDefault="004A2673" w:rsidP="00421E7F">
      <w:pPr>
        <w:rPr>
          <w:rFonts w:ascii="Verdana" w:hAnsi="Verdana"/>
          <w:sz w:val="22"/>
          <w:szCs w:val="22"/>
        </w:rPr>
      </w:pPr>
      <w:r w:rsidRPr="00FC3B42">
        <w:rPr>
          <w:rFonts w:ascii="Verdana" w:hAnsi="Verdana"/>
          <w:sz w:val="22"/>
          <w:szCs w:val="22"/>
        </w:rPr>
        <w:t xml:space="preserve">We have </w:t>
      </w:r>
      <w:r>
        <w:rPr>
          <w:rFonts w:ascii="Verdana" w:hAnsi="Verdana"/>
          <w:sz w:val="22"/>
          <w:szCs w:val="22"/>
        </w:rPr>
        <w:t>previousl</w:t>
      </w:r>
      <w:r w:rsidRPr="00FC3B42">
        <w:rPr>
          <w:rFonts w:ascii="Verdana" w:hAnsi="Verdana"/>
          <w:sz w:val="22"/>
          <w:szCs w:val="22"/>
        </w:rPr>
        <w:t xml:space="preserve">y responded to an FOIA request regarding this subject. Therefore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our website:</w:t>
      </w:r>
      <w:r>
        <w:rPr>
          <w:rFonts w:ascii="Verdana" w:hAnsi="Verdana"/>
          <w:sz w:val="22"/>
          <w:szCs w:val="22"/>
        </w:rPr>
        <w:t xml:space="preserve"> </w:t>
      </w:r>
      <w:hyperlink r:id="rId8" w:history="1">
        <w:r w:rsidRPr="002E2E6D">
          <w:rPr>
            <w:rStyle w:val="Hyperlink"/>
            <w:rFonts w:ascii="Verdana" w:hAnsi="Verdana" w:cs="Arial"/>
            <w:sz w:val="22"/>
            <w:szCs w:val="22"/>
          </w:rPr>
          <w:t>https://sbuhb.nhs.wales/files/freedom-of-information-disclosure-log-2025/april/25-d-008-arachnoiditis-docx/</w:t>
        </w:r>
      </w:hyperlink>
    </w:p>
    <w:p w14:paraId="5F34D4AB" w14:textId="22D099B3" w:rsidR="004A2673" w:rsidRDefault="004A2673" w:rsidP="00421E7F">
      <w:pPr>
        <w:rPr>
          <w:rFonts w:ascii="Verdana" w:hAnsi="Verdana"/>
          <w:sz w:val="22"/>
          <w:szCs w:val="22"/>
        </w:rPr>
      </w:pPr>
      <w:r>
        <w:rPr>
          <w:rFonts w:ascii="Verdana" w:hAnsi="Verdana"/>
          <w:sz w:val="22"/>
          <w:szCs w:val="22"/>
        </w:rPr>
        <w:t>And</w:t>
      </w:r>
    </w:p>
    <w:p w14:paraId="5686F9BB" w14:textId="255D25AC" w:rsidR="004A2673" w:rsidRPr="004A2673" w:rsidRDefault="004A2673" w:rsidP="00421E7F">
      <w:pPr>
        <w:rPr>
          <w:rFonts w:ascii="Verdana" w:hAnsi="Verdana"/>
          <w:noProof/>
          <w:sz w:val="22"/>
          <w:szCs w:val="22"/>
        </w:rPr>
      </w:pPr>
      <w:hyperlink r:id="rId9" w:history="1">
        <w:r w:rsidRPr="004A2673">
          <w:rPr>
            <w:rStyle w:val="Hyperlink"/>
            <w:rFonts w:ascii="Verdana" w:hAnsi="Verdana" w:cs="Arial"/>
            <w:noProof/>
            <w:sz w:val="22"/>
            <w:szCs w:val="22"/>
          </w:rPr>
          <w:t>https://sbuhb.nhs.wales/files/freedom-of-information-disclosure-log-2025/april/25-d-008-framework-for-the-management-of-performance-concerns-doctors-pdf/</w:t>
        </w:r>
      </w:hyperlink>
      <w:r w:rsidRPr="004A2673">
        <w:rPr>
          <w:rFonts w:ascii="Verdana" w:hAnsi="Verdana"/>
          <w:noProof/>
          <w:sz w:val="22"/>
          <w:szCs w:val="22"/>
        </w:rPr>
        <w:t xml:space="preser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9E7FCF"/>
    <w:multiLevelType w:val="multilevel"/>
    <w:tmpl w:val="3D0A3B6E"/>
    <w:lvl w:ilvl="0">
      <w:start w:val="1"/>
      <w:numFmt w:val="decimal"/>
      <w:lvlText w:val="%1."/>
      <w:lvlJc w:val="left"/>
      <w:pPr>
        <w:ind w:left="865" w:hanging="360"/>
      </w:pPr>
      <w:rPr>
        <w:rFonts w:hint="default"/>
      </w:rPr>
    </w:lvl>
    <w:lvl w:ilvl="1">
      <w:start w:val="2"/>
      <w:numFmt w:val="decimal"/>
      <w:isLgl/>
      <w:lvlText w:val="%1.%2."/>
      <w:lvlJc w:val="left"/>
      <w:pPr>
        <w:ind w:left="1225" w:hanging="720"/>
      </w:pPr>
      <w:rPr>
        <w:rFonts w:hint="default"/>
      </w:rPr>
    </w:lvl>
    <w:lvl w:ilvl="2">
      <w:start w:val="1"/>
      <w:numFmt w:val="decimal"/>
      <w:isLgl/>
      <w:lvlText w:val="%1.%2.%3."/>
      <w:lvlJc w:val="left"/>
      <w:pPr>
        <w:ind w:left="1585" w:hanging="1080"/>
      </w:pPr>
      <w:rPr>
        <w:rFonts w:hint="default"/>
      </w:rPr>
    </w:lvl>
    <w:lvl w:ilvl="3">
      <w:start w:val="1"/>
      <w:numFmt w:val="decimal"/>
      <w:isLgl/>
      <w:lvlText w:val="%1.%2.%3.%4."/>
      <w:lvlJc w:val="left"/>
      <w:pPr>
        <w:ind w:left="1945" w:hanging="144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665" w:hanging="2160"/>
      </w:pPr>
      <w:rPr>
        <w:rFonts w:hint="default"/>
      </w:rPr>
    </w:lvl>
    <w:lvl w:ilvl="7">
      <w:start w:val="1"/>
      <w:numFmt w:val="decimal"/>
      <w:isLgl/>
      <w:lvlText w:val="%1.%2.%3.%4.%5.%6.%7.%8."/>
      <w:lvlJc w:val="left"/>
      <w:pPr>
        <w:ind w:left="3025" w:hanging="2520"/>
      </w:pPr>
      <w:rPr>
        <w:rFonts w:hint="default"/>
      </w:rPr>
    </w:lvl>
    <w:lvl w:ilvl="8">
      <w:start w:val="1"/>
      <w:numFmt w:val="decimal"/>
      <w:isLgl/>
      <w:lvlText w:val="%1.%2.%3.%4.%5.%6.%7.%8.%9."/>
      <w:lvlJc w:val="left"/>
      <w:pPr>
        <w:ind w:left="3025" w:hanging="2520"/>
      </w:pPr>
      <w:rPr>
        <w:rFont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F267E2"/>
    <w:multiLevelType w:val="hybridMultilevel"/>
    <w:tmpl w:val="09E290A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61C435C"/>
    <w:multiLevelType w:val="multilevel"/>
    <w:tmpl w:val="52947080"/>
    <w:lvl w:ilvl="0">
      <w:start w:val="1"/>
      <w:numFmt w:val="lowerLetter"/>
      <w:lvlText w:val="%1)"/>
      <w:lvlJc w:val="left"/>
      <w:pPr>
        <w:ind w:left="865" w:hanging="360"/>
      </w:pPr>
      <w:rPr>
        <w:rFonts w:hint="default"/>
      </w:rPr>
    </w:lvl>
    <w:lvl w:ilvl="1">
      <w:start w:val="2"/>
      <w:numFmt w:val="decimal"/>
      <w:isLgl/>
      <w:lvlText w:val="%1.%2."/>
      <w:lvlJc w:val="left"/>
      <w:pPr>
        <w:ind w:left="1225" w:hanging="720"/>
      </w:pPr>
      <w:rPr>
        <w:rFonts w:hint="default"/>
      </w:rPr>
    </w:lvl>
    <w:lvl w:ilvl="2">
      <w:start w:val="1"/>
      <w:numFmt w:val="decimal"/>
      <w:isLgl/>
      <w:lvlText w:val="%1.%2.%3."/>
      <w:lvlJc w:val="left"/>
      <w:pPr>
        <w:ind w:left="1585" w:hanging="1080"/>
      </w:pPr>
      <w:rPr>
        <w:rFonts w:hint="default"/>
      </w:rPr>
    </w:lvl>
    <w:lvl w:ilvl="3">
      <w:start w:val="1"/>
      <w:numFmt w:val="decimal"/>
      <w:isLgl/>
      <w:lvlText w:val="%1.%2.%3.%4."/>
      <w:lvlJc w:val="left"/>
      <w:pPr>
        <w:ind w:left="1945" w:hanging="144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665" w:hanging="2160"/>
      </w:pPr>
      <w:rPr>
        <w:rFonts w:hint="default"/>
      </w:rPr>
    </w:lvl>
    <w:lvl w:ilvl="7">
      <w:start w:val="1"/>
      <w:numFmt w:val="decimal"/>
      <w:isLgl/>
      <w:lvlText w:val="%1.%2.%3.%4.%5.%6.%7.%8."/>
      <w:lvlJc w:val="left"/>
      <w:pPr>
        <w:ind w:left="3025" w:hanging="2520"/>
      </w:pPr>
      <w:rPr>
        <w:rFonts w:hint="default"/>
      </w:rPr>
    </w:lvl>
    <w:lvl w:ilvl="8">
      <w:start w:val="1"/>
      <w:numFmt w:val="decimal"/>
      <w:isLgl/>
      <w:lvlText w:val="%1.%2.%3.%4.%5.%6.%7.%8.%9."/>
      <w:lvlJc w:val="left"/>
      <w:pPr>
        <w:ind w:left="3025" w:hanging="2520"/>
      </w:pPr>
      <w:rPr>
        <w:rFonts w:hint="default"/>
      </w:rPr>
    </w:lvl>
  </w:abstractNum>
  <w:abstractNum w:abstractNumId="8" w15:restartNumberingAfterBreak="0">
    <w:nsid w:val="265E20F1"/>
    <w:multiLevelType w:val="multilevel"/>
    <w:tmpl w:val="3884A112"/>
    <w:lvl w:ilvl="0">
      <w:start w:val="1"/>
      <w:numFmt w:val="lowerLetter"/>
      <w:lvlText w:val="%1)"/>
      <w:lvlJc w:val="left"/>
      <w:pPr>
        <w:ind w:left="865" w:hanging="360"/>
      </w:pPr>
      <w:rPr>
        <w:rFonts w:hint="default"/>
      </w:rPr>
    </w:lvl>
    <w:lvl w:ilvl="1">
      <w:start w:val="2"/>
      <w:numFmt w:val="decimal"/>
      <w:isLgl/>
      <w:lvlText w:val="%1.%2."/>
      <w:lvlJc w:val="left"/>
      <w:pPr>
        <w:ind w:left="1225" w:hanging="720"/>
      </w:pPr>
      <w:rPr>
        <w:rFonts w:hint="default"/>
      </w:rPr>
    </w:lvl>
    <w:lvl w:ilvl="2">
      <w:start w:val="1"/>
      <w:numFmt w:val="decimal"/>
      <w:isLgl/>
      <w:lvlText w:val="%1.%2.%3."/>
      <w:lvlJc w:val="left"/>
      <w:pPr>
        <w:ind w:left="1585" w:hanging="1080"/>
      </w:pPr>
      <w:rPr>
        <w:rFonts w:hint="default"/>
      </w:rPr>
    </w:lvl>
    <w:lvl w:ilvl="3">
      <w:start w:val="1"/>
      <w:numFmt w:val="decimal"/>
      <w:isLgl/>
      <w:lvlText w:val="%1.%2.%3.%4."/>
      <w:lvlJc w:val="left"/>
      <w:pPr>
        <w:ind w:left="1945" w:hanging="144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665" w:hanging="2160"/>
      </w:pPr>
      <w:rPr>
        <w:rFonts w:hint="default"/>
      </w:rPr>
    </w:lvl>
    <w:lvl w:ilvl="7">
      <w:start w:val="1"/>
      <w:numFmt w:val="decimal"/>
      <w:isLgl/>
      <w:lvlText w:val="%1.%2.%3.%4.%5.%6.%7.%8."/>
      <w:lvlJc w:val="left"/>
      <w:pPr>
        <w:ind w:left="3025" w:hanging="2520"/>
      </w:pPr>
      <w:rPr>
        <w:rFonts w:hint="default"/>
      </w:rPr>
    </w:lvl>
    <w:lvl w:ilvl="8">
      <w:start w:val="1"/>
      <w:numFmt w:val="decimal"/>
      <w:isLgl/>
      <w:lvlText w:val="%1.%2.%3.%4.%5.%6.%7.%8.%9."/>
      <w:lvlJc w:val="left"/>
      <w:pPr>
        <w:ind w:left="3025" w:hanging="2520"/>
      </w:pPr>
      <w:rPr>
        <w:rFonts w:hint="default"/>
      </w:r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A87086D"/>
    <w:multiLevelType w:val="hybridMultilevel"/>
    <w:tmpl w:val="F6943440"/>
    <w:lvl w:ilvl="0" w:tplc="08090017">
      <w:start w:val="1"/>
      <w:numFmt w:val="lowerLetter"/>
      <w:lvlText w:val="%1)"/>
      <w:lvlJc w:val="left"/>
      <w:pPr>
        <w:ind w:left="865" w:hanging="360"/>
      </w:p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3304B9D"/>
    <w:multiLevelType w:val="multilevel"/>
    <w:tmpl w:val="F74493E2"/>
    <w:lvl w:ilvl="0">
      <w:start w:val="1"/>
      <w:numFmt w:val="lowerLetter"/>
      <w:lvlText w:val="%1)"/>
      <w:lvlJc w:val="left"/>
      <w:pPr>
        <w:ind w:left="865" w:hanging="360"/>
      </w:pPr>
      <w:rPr>
        <w:rFonts w:hint="default"/>
      </w:rPr>
    </w:lvl>
    <w:lvl w:ilvl="1">
      <w:start w:val="2"/>
      <w:numFmt w:val="decimal"/>
      <w:isLgl/>
      <w:lvlText w:val="%1.%2."/>
      <w:lvlJc w:val="left"/>
      <w:pPr>
        <w:ind w:left="1225" w:hanging="720"/>
      </w:pPr>
      <w:rPr>
        <w:rFonts w:hint="default"/>
      </w:rPr>
    </w:lvl>
    <w:lvl w:ilvl="2">
      <w:start w:val="1"/>
      <w:numFmt w:val="decimal"/>
      <w:isLgl/>
      <w:lvlText w:val="%1.%2.%3."/>
      <w:lvlJc w:val="left"/>
      <w:pPr>
        <w:ind w:left="1585" w:hanging="1080"/>
      </w:pPr>
      <w:rPr>
        <w:rFonts w:hint="default"/>
      </w:rPr>
    </w:lvl>
    <w:lvl w:ilvl="3">
      <w:start w:val="1"/>
      <w:numFmt w:val="decimal"/>
      <w:isLgl/>
      <w:lvlText w:val="%1.%2.%3.%4."/>
      <w:lvlJc w:val="left"/>
      <w:pPr>
        <w:ind w:left="1945" w:hanging="144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665" w:hanging="2160"/>
      </w:pPr>
      <w:rPr>
        <w:rFonts w:hint="default"/>
      </w:rPr>
    </w:lvl>
    <w:lvl w:ilvl="7">
      <w:start w:val="1"/>
      <w:numFmt w:val="decimal"/>
      <w:isLgl/>
      <w:lvlText w:val="%1.%2.%3.%4.%5.%6.%7.%8."/>
      <w:lvlJc w:val="left"/>
      <w:pPr>
        <w:ind w:left="3025" w:hanging="2520"/>
      </w:pPr>
      <w:rPr>
        <w:rFonts w:hint="default"/>
      </w:rPr>
    </w:lvl>
    <w:lvl w:ilvl="8">
      <w:start w:val="1"/>
      <w:numFmt w:val="decimal"/>
      <w:isLgl/>
      <w:lvlText w:val="%1.%2.%3.%4.%5.%6.%7.%8.%9."/>
      <w:lvlJc w:val="left"/>
      <w:pPr>
        <w:ind w:left="3025" w:hanging="2520"/>
      </w:pPr>
      <w:rPr>
        <w:rFonts w:hint="default"/>
      </w:r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5100EE9"/>
    <w:multiLevelType w:val="hybridMultilevel"/>
    <w:tmpl w:val="598EF29E"/>
    <w:lvl w:ilvl="0" w:tplc="08090017">
      <w:start w:val="1"/>
      <w:numFmt w:val="lowerLetter"/>
      <w:lvlText w:val="%1)"/>
      <w:lvlJc w:val="left"/>
      <w:pPr>
        <w:ind w:left="865" w:hanging="360"/>
      </w:p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5B201E06"/>
    <w:multiLevelType w:val="multilevel"/>
    <w:tmpl w:val="EFCC192A"/>
    <w:lvl w:ilvl="0">
      <w:start w:val="1"/>
      <w:numFmt w:val="decimal"/>
      <w:lvlText w:val="%1."/>
      <w:lvlJc w:val="left"/>
      <w:pPr>
        <w:ind w:left="865" w:hanging="360"/>
      </w:pPr>
      <w:rPr>
        <w:rFonts w:hint="default"/>
      </w:rPr>
    </w:lvl>
    <w:lvl w:ilvl="1">
      <w:start w:val="1"/>
      <w:numFmt w:val="lowerLetter"/>
      <w:lvlText w:val="%2)"/>
      <w:lvlJc w:val="left"/>
      <w:pPr>
        <w:ind w:left="865" w:hanging="360"/>
      </w:pPr>
    </w:lvl>
    <w:lvl w:ilvl="2">
      <w:start w:val="1"/>
      <w:numFmt w:val="decimal"/>
      <w:isLgl/>
      <w:lvlText w:val="%1.%2.%3."/>
      <w:lvlJc w:val="left"/>
      <w:pPr>
        <w:ind w:left="1585" w:hanging="1080"/>
      </w:pPr>
      <w:rPr>
        <w:rFonts w:hint="default"/>
      </w:rPr>
    </w:lvl>
    <w:lvl w:ilvl="3">
      <w:start w:val="1"/>
      <w:numFmt w:val="decimal"/>
      <w:isLgl/>
      <w:lvlText w:val="%1.%2.%3.%4."/>
      <w:lvlJc w:val="left"/>
      <w:pPr>
        <w:ind w:left="1945" w:hanging="1440"/>
      </w:pPr>
      <w:rPr>
        <w:rFonts w:hint="default"/>
      </w:rPr>
    </w:lvl>
    <w:lvl w:ilvl="4">
      <w:start w:val="1"/>
      <w:numFmt w:val="decimal"/>
      <w:isLgl/>
      <w:lvlText w:val="%1.%2.%3.%4.%5."/>
      <w:lvlJc w:val="left"/>
      <w:pPr>
        <w:ind w:left="1945" w:hanging="1440"/>
      </w:pPr>
      <w:rPr>
        <w:rFonts w:hint="default"/>
      </w:rPr>
    </w:lvl>
    <w:lvl w:ilvl="5">
      <w:start w:val="1"/>
      <w:numFmt w:val="decimal"/>
      <w:isLgl/>
      <w:lvlText w:val="%1.%2.%3.%4.%5.%6."/>
      <w:lvlJc w:val="left"/>
      <w:pPr>
        <w:ind w:left="2305" w:hanging="1800"/>
      </w:pPr>
      <w:rPr>
        <w:rFonts w:hint="default"/>
      </w:rPr>
    </w:lvl>
    <w:lvl w:ilvl="6">
      <w:start w:val="1"/>
      <w:numFmt w:val="decimal"/>
      <w:isLgl/>
      <w:lvlText w:val="%1.%2.%3.%4.%5.%6.%7."/>
      <w:lvlJc w:val="left"/>
      <w:pPr>
        <w:ind w:left="2665" w:hanging="2160"/>
      </w:pPr>
      <w:rPr>
        <w:rFonts w:hint="default"/>
      </w:rPr>
    </w:lvl>
    <w:lvl w:ilvl="7">
      <w:start w:val="1"/>
      <w:numFmt w:val="decimal"/>
      <w:isLgl/>
      <w:lvlText w:val="%1.%2.%3.%4.%5.%6.%7.%8."/>
      <w:lvlJc w:val="left"/>
      <w:pPr>
        <w:ind w:left="3025" w:hanging="2520"/>
      </w:pPr>
      <w:rPr>
        <w:rFonts w:hint="default"/>
      </w:rPr>
    </w:lvl>
    <w:lvl w:ilvl="8">
      <w:start w:val="1"/>
      <w:numFmt w:val="decimal"/>
      <w:isLgl/>
      <w:lvlText w:val="%1.%2.%3.%4.%5.%6.%7.%8.%9."/>
      <w:lvlJc w:val="left"/>
      <w:pPr>
        <w:ind w:left="3025" w:hanging="2520"/>
      </w:pPr>
      <w:rPr>
        <w:rFonts w:hint="default"/>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9D95B59"/>
    <w:multiLevelType w:val="hybridMultilevel"/>
    <w:tmpl w:val="7A464A98"/>
    <w:lvl w:ilvl="0" w:tplc="08090017">
      <w:start w:val="1"/>
      <w:numFmt w:val="lowerLetter"/>
      <w:lvlText w:val="%1)"/>
      <w:lvlJc w:val="left"/>
      <w:pPr>
        <w:ind w:left="865" w:hanging="360"/>
      </w:p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0"/>
  </w:num>
  <w:num w:numId="2" w16cid:durableId="828599020">
    <w:abstractNumId w:val="0"/>
  </w:num>
  <w:num w:numId="3" w16cid:durableId="1966037800">
    <w:abstractNumId w:val="13"/>
  </w:num>
  <w:num w:numId="4" w16cid:durableId="1125923312">
    <w:abstractNumId w:val="23"/>
  </w:num>
  <w:num w:numId="5" w16cid:durableId="1143425367">
    <w:abstractNumId w:val="5"/>
  </w:num>
  <w:num w:numId="6" w16cid:durableId="1293360629">
    <w:abstractNumId w:val="4"/>
  </w:num>
  <w:num w:numId="7" w16cid:durableId="479228409">
    <w:abstractNumId w:val="16"/>
  </w:num>
  <w:num w:numId="8" w16cid:durableId="1553300907">
    <w:abstractNumId w:val="22"/>
  </w:num>
  <w:num w:numId="9" w16cid:durableId="687946864">
    <w:abstractNumId w:val="26"/>
  </w:num>
  <w:num w:numId="10" w16cid:durableId="993416643">
    <w:abstractNumId w:val="1"/>
  </w:num>
  <w:num w:numId="11" w16cid:durableId="1541481371">
    <w:abstractNumId w:val="14"/>
  </w:num>
  <w:num w:numId="12" w16cid:durableId="1525171868">
    <w:abstractNumId w:val="18"/>
  </w:num>
  <w:num w:numId="13" w16cid:durableId="200629463">
    <w:abstractNumId w:val="24"/>
  </w:num>
  <w:num w:numId="14" w16cid:durableId="5438320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9"/>
  </w:num>
  <w:num w:numId="18" w16cid:durableId="949163570">
    <w:abstractNumId w:val="2"/>
  </w:num>
  <w:num w:numId="19" w16cid:durableId="219439207">
    <w:abstractNumId w:val="6"/>
  </w:num>
  <w:num w:numId="20" w16cid:durableId="1111974099">
    <w:abstractNumId w:val="3"/>
  </w:num>
  <w:num w:numId="21" w16cid:durableId="1910187980">
    <w:abstractNumId w:val="21"/>
  </w:num>
  <w:num w:numId="22" w16cid:durableId="418910423">
    <w:abstractNumId w:val="12"/>
  </w:num>
  <w:num w:numId="23" w16cid:durableId="1306004473">
    <w:abstractNumId w:val="25"/>
  </w:num>
  <w:num w:numId="24" w16cid:durableId="1292593324">
    <w:abstractNumId w:val="19"/>
  </w:num>
  <w:num w:numId="25" w16cid:durableId="143280806">
    <w:abstractNumId w:val="15"/>
  </w:num>
  <w:num w:numId="26" w16cid:durableId="1395203681">
    <w:abstractNumId w:val="7"/>
  </w:num>
  <w:num w:numId="27" w16cid:durableId="20021914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4F64"/>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18BB"/>
    <w:rsid w:val="0048724F"/>
    <w:rsid w:val="004A2673"/>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lucyanderson">
    <w:name w:val="lucy.anderson"/>
    <w:semiHidden/>
    <w:rsid w:val="004A2673"/>
    <w:rPr>
      <w:rFonts w:ascii="Arial" w:hAnsi="Arial" w:cs="Arial"/>
      <w:color w:val="000080"/>
      <w:sz w:val="20"/>
      <w:szCs w:val="20"/>
    </w:rPr>
  </w:style>
  <w:style w:type="character" w:styleId="UnresolvedMention">
    <w:name w:val="Unresolved Mention"/>
    <w:basedOn w:val="DefaultParagraphFont"/>
    <w:uiPriority w:val="99"/>
    <w:semiHidden/>
    <w:unhideWhenUsed/>
    <w:rsid w:val="004A26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144349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1522029">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5/april/25-d-008-arachnoiditis-doc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buhb.nhs.wales/files/freedom-of-information-disclosure-log-2025/april/25-d-008-framework-for-the-management-of-performance-concerns-doctors-pdf/"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96</TotalTime>
  <Pages>4</Pages>
  <Words>1192</Words>
  <Characters>6797</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2025-11-07T09:27:00Z</dcterms:modified>
</cp:coreProperties>
</file>