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EAABDC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B7491">
                              <w:rPr>
                                <w:rFonts w:ascii="Verdana" w:hAnsi="Verdana"/>
                                <w:b/>
                                <w:sz w:val="22"/>
                                <w:szCs w:val="22"/>
                              </w:rPr>
                              <w:t>25-F-015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EAABDC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B7491">
                        <w:rPr>
                          <w:rFonts w:ascii="Verdana" w:hAnsi="Verdana"/>
                          <w:b/>
                          <w:sz w:val="22"/>
                          <w:szCs w:val="22"/>
                        </w:rPr>
                        <w:t>25-F-015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2AF3E60" w:rsidR="00DC0D5A" w:rsidRPr="00EB7491" w:rsidRDefault="00A10460" w:rsidP="00DC0D5A">
      <w:pPr>
        <w:spacing w:before="280"/>
        <w:rPr>
          <w:rFonts w:ascii="Verdana" w:hAnsi="Verdana"/>
          <w:b/>
          <w:sz w:val="22"/>
        </w:rPr>
      </w:pPr>
      <w:r w:rsidRPr="00EB7491">
        <w:rPr>
          <w:rFonts w:ascii="Verdana" w:hAnsi="Verdana"/>
          <w:b/>
          <w:sz w:val="22"/>
        </w:rPr>
        <w:t>You asked:</w:t>
      </w:r>
    </w:p>
    <w:p w14:paraId="6E952DC6" w14:textId="77777777" w:rsidR="00EB7491" w:rsidRPr="00EB7491" w:rsidRDefault="00EB7491" w:rsidP="00EB7491">
      <w:pPr>
        <w:pStyle w:val="PlainText"/>
        <w:ind w:firstLine="505"/>
        <w:rPr>
          <w:rFonts w:ascii="Verdana" w:hAnsi="Verdana"/>
          <w:b/>
        </w:rPr>
      </w:pPr>
      <w:r w:rsidRPr="00EB7491">
        <w:rPr>
          <w:rFonts w:ascii="Verdana" w:hAnsi="Verdana"/>
          <w:b/>
        </w:rPr>
        <w:t>1. Lynch Syndrome Detection and Monitoring</w:t>
      </w:r>
    </w:p>
    <w:p w14:paraId="6C09E68F" w14:textId="77777777" w:rsidR="00EB7491" w:rsidRPr="00EB7491" w:rsidRDefault="00EB7491" w:rsidP="00EB7491">
      <w:pPr>
        <w:pStyle w:val="PlainText"/>
        <w:rPr>
          <w:rFonts w:ascii="Verdana" w:hAnsi="Verdana"/>
          <w:b/>
        </w:rPr>
      </w:pPr>
    </w:p>
    <w:p w14:paraId="52DEEFDD" w14:textId="77777777" w:rsidR="00EB7491" w:rsidRPr="00EB7491" w:rsidRDefault="00EB7491" w:rsidP="00EB7491">
      <w:pPr>
        <w:pStyle w:val="PlainText"/>
        <w:ind w:firstLine="720"/>
        <w:rPr>
          <w:rFonts w:ascii="Verdana" w:hAnsi="Verdana"/>
          <w:b/>
        </w:rPr>
      </w:pPr>
      <w:r w:rsidRPr="00EB7491">
        <w:rPr>
          <w:rFonts w:ascii="Verdana" w:hAnsi="Verdana"/>
          <w:b/>
        </w:rPr>
        <w:t>a) Please provide:</w:t>
      </w:r>
    </w:p>
    <w:p w14:paraId="557A03C1" w14:textId="77777777" w:rsidR="00EB7491" w:rsidRDefault="00EB7491" w:rsidP="00EB7491">
      <w:pPr>
        <w:pStyle w:val="PlainText"/>
        <w:ind w:left="720"/>
        <w:rPr>
          <w:rFonts w:ascii="Verdana" w:hAnsi="Verdana"/>
          <w:b/>
        </w:rPr>
      </w:pPr>
      <w:r w:rsidRPr="00EB7491">
        <w:rPr>
          <w:rFonts w:ascii="Verdana" w:hAnsi="Verdana"/>
          <w:b/>
        </w:rPr>
        <w:t xml:space="preserve">•      The full protocol used by your organisation for screening, diagnosing, </w:t>
      </w:r>
      <w:r>
        <w:rPr>
          <w:rFonts w:ascii="Verdana" w:hAnsi="Verdana"/>
          <w:b/>
        </w:rPr>
        <w:t xml:space="preserve">    </w:t>
      </w:r>
    </w:p>
    <w:p w14:paraId="4E463541" w14:textId="77777777" w:rsidR="00EB7491" w:rsidRDefault="00EB7491" w:rsidP="00EB7491">
      <w:pPr>
        <w:pStyle w:val="PlainText"/>
        <w:ind w:left="720"/>
        <w:rPr>
          <w:rFonts w:ascii="Verdana" w:hAnsi="Verdana"/>
          <w:b/>
        </w:rPr>
      </w:pPr>
      <w:r>
        <w:rPr>
          <w:rFonts w:ascii="Verdana" w:hAnsi="Verdana"/>
          <w:b/>
        </w:rPr>
        <w:t xml:space="preserve">        </w:t>
      </w:r>
      <w:r w:rsidRPr="00EB7491">
        <w:rPr>
          <w:rFonts w:ascii="Verdana" w:hAnsi="Verdana"/>
          <w:b/>
        </w:rPr>
        <w:t xml:space="preserve">and referring patients with suspected or confirmed Lynch Syndrome </w:t>
      </w:r>
      <w:r>
        <w:rPr>
          <w:rFonts w:ascii="Verdana" w:hAnsi="Verdana"/>
          <w:b/>
        </w:rPr>
        <w:t xml:space="preserve">  </w:t>
      </w:r>
    </w:p>
    <w:p w14:paraId="4DA4CB20" w14:textId="4215CAB3" w:rsidR="00EB7491" w:rsidRDefault="00EB7491" w:rsidP="00EB7491">
      <w:pPr>
        <w:pStyle w:val="PlainText"/>
        <w:ind w:left="720"/>
        <w:rPr>
          <w:rFonts w:ascii="Verdana" w:hAnsi="Verdana"/>
          <w:b/>
        </w:rPr>
      </w:pPr>
      <w:r>
        <w:rPr>
          <w:rFonts w:ascii="Verdana" w:hAnsi="Verdana"/>
          <w:b/>
        </w:rPr>
        <w:t xml:space="preserve">        </w:t>
      </w:r>
      <w:r w:rsidRPr="00EB7491">
        <w:rPr>
          <w:rFonts w:ascii="Verdana" w:hAnsi="Verdana"/>
          <w:b/>
        </w:rPr>
        <w:t>(hereditary nonpolyposis colorectal cancer).</w:t>
      </w:r>
    </w:p>
    <w:p w14:paraId="590E02F4" w14:textId="099420E3" w:rsidR="00B43AA6" w:rsidRDefault="00B43AA6" w:rsidP="00EB7491">
      <w:pPr>
        <w:pStyle w:val="PlainText"/>
        <w:ind w:left="720"/>
        <w:rPr>
          <w:rFonts w:ascii="Verdana" w:hAnsi="Verdana"/>
          <w:b/>
        </w:rPr>
      </w:pPr>
    </w:p>
    <w:p w14:paraId="59EA4966" w14:textId="77777777" w:rsidR="00B43AA6" w:rsidRPr="00B43AA6" w:rsidRDefault="00B43AA6" w:rsidP="00B43AA6">
      <w:pPr>
        <w:shd w:val="clear" w:color="auto" w:fill="FFFFFF"/>
        <w:ind w:left="1225" w:firstLine="215"/>
        <w:rPr>
          <w:rFonts w:ascii="Verdana" w:hAnsi="Verdana"/>
          <w:sz w:val="22"/>
          <w:szCs w:val="22"/>
        </w:rPr>
      </w:pPr>
      <w:r w:rsidRPr="00B43AA6">
        <w:rPr>
          <w:rFonts w:ascii="Verdana" w:hAnsi="Verdana"/>
          <w:sz w:val="22"/>
          <w:szCs w:val="22"/>
        </w:rPr>
        <w:t xml:space="preserve">Swansea Bay University Health Board follow the BSG guidelines: </w:t>
      </w:r>
    </w:p>
    <w:p w14:paraId="01E766DF" w14:textId="423DDA3E" w:rsidR="00B43AA6" w:rsidRPr="00B43AA6" w:rsidRDefault="00B43AA6" w:rsidP="00B43AA6">
      <w:pPr>
        <w:shd w:val="clear" w:color="auto" w:fill="FFFFFF"/>
        <w:ind w:left="1440"/>
        <w:rPr>
          <w:rFonts w:ascii="Verdana" w:hAnsi="Verdana"/>
          <w:sz w:val="22"/>
          <w:szCs w:val="22"/>
        </w:rPr>
      </w:pPr>
      <w:hyperlink r:id="rId8" w:history="1">
        <w:r w:rsidRPr="00B43AA6">
          <w:rPr>
            <w:rStyle w:val="Hyperlink"/>
            <w:rFonts w:ascii="Verdana" w:hAnsi="Verdana"/>
            <w:color w:val="C82613"/>
            <w:sz w:val="22"/>
            <w:szCs w:val="22"/>
          </w:rPr>
          <w:t>Hereditary Colorectal Cancer (CRC) Guidelines | BSG, ACPGBI &amp; UKCGG</w:t>
        </w:r>
      </w:hyperlink>
    </w:p>
    <w:p w14:paraId="79B98370" w14:textId="77777777" w:rsidR="00B43AA6" w:rsidRPr="00B43AA6" w:rsidRDefault="00B43AA6" w:rsidP="00EB7491">
      <w:pPr>
        <w:pStyle w:val="PlainText"/>
        <w:ind w:left="720"/>
        <w:rPr>
          <w:rFonts w:ascii="Verdana" w:hAnsi="Verdana"/>
          <w:b/>
          <w:szCs w:val="22"/>
        </w:rPr>
      </w:pPr>
    </w:p>
    <w:p w14:paraId="740BB2BA" w14:textId="1A9B72A9" w:rsidR="00EB7491" w:rsidRPr="00B43AA6" w:rsidRDefault="00EB7491" w:rsidP="00EB7491">
      <w:pPr>
        <w:pStyle w:val="PlainText"/>
        <w:ind w:left="400" w:firstLine="320"/>
        <w:rPr>
          <w:rFonts w:ascii="Verdana" w:hAnsi="Verdana"/>
          <w:b/>
          <w:szCs w:val="22"/>
        </w:rPr>
      </w:pPr>
      <w:r w:rsidRPr="00B43AA6">
        <w:rPr>
          <w:rFonts w:ascii="Verdana" w:hAnsi="Verdana"/>
          <w:b/>
          <w:szCs w:val="22"/>
        </w:rPr>
        <w:t xml:space="preserve">•     Any guidance given to GPs or hospital clinicians regarding red flag </w:t>
      </w:r>
    </w:p>
    <w:p w14:paraId="46115C4C" w14:textId="588A7391" w:rsidR="00EB7491" w:rsidRPr="00B43AA6" w:rsidRDefault="00EB7491" w:rsidP="00EB7491">
      <w:pPr>
        <w:pStyle w:val="PlainText"/>
        <w:ind w:left="400" w:firstLine="320"/>
        <w:rPr>
          <w:rFonts w:ascii="Verdana" w:hAnsi="Verdana"/>
          <w:b/>
          <w:szCs w:val="22"/>
        </w:rPr>
      </w:pPr>
      <w:r w:rsidRPr="00B43AA6">
        <w:rPr>
          <w:rFonts w:ascii="Verdana" w:hAnsi="Verdana"/>
          <w:b/>
          <w:szCs w:val="22"/>
        </w:rPr>
        <w:t xml:space="preserve">       indicators that should trigger testing for Lynch Syndrome.</w:t>
      </w:r>
    </w:p>
    <w:p w14:paraId="2B6275CF" w14:textId="7B4E6056" w:rsidR="00B43AA6" w:rsidRPr="00B43AA6" w:rsidRDefault="00B43AA6" w:rsidP="00EB7491">
      <w:pPr>
        <w:pStyle w:val="PlainText"/>
        <w:ind w:left="400" w:firstLine="320"/>
        <w:rPr>
          <w:rFonts w:ascii="Verdana" w:hAnsi="Verdana"/>
          <w:b/>
          <w:szCs w:val="22"/>
        </w:rPr>
      </w:pPr>
    </w:p>
    <w:p w14:paraId="1AFA9F3C" w14:textId="2AD72461" w:rsidR="00B43AA6" w:rsidRPr="00B43AA6" w:rsidRDefault="00B43AA6" w:rsidP="00B43AA6">
      <w:pPr>
        <w:shd w:val="clear" w:color="auto" w:fill="FFFFFF"/>
        <w:ind w:left="1165" w:firstLine="80"/>
        <w:rPr>
          <w:rFonts w:ascii="Verdana" w:hAnsi="Verdana"/>
          <w:sz w:val="22"/>
          <w:szCs w:val="22"/>
        </w:rPr>
      </w:pPr>
      <w:r w:rsidRPr="00B43AA6">
        <w:rPr>
          <w:rFonts w:ascii="Verdana" w:hAnsi="Verdana"/>
          <w:sz w:val="22"/>
          <w:szCs w:val="22"/>
        </w:rPr>
        <w:t xml:space="preserve">All confirmed colorectal cancers are tested for Lynch syndrome as per </w:t>
      </w:r>
      <w:r>
        <w:rPr>
          <w:rFonts w:ascii="Verdana" w:hAnsi="Verdana"/>
          <w:sz w:val="22"/>
          <w:szCs w:val="22"/>
        </w:rPr>
        <w:t xml:space="preserve">All </w:t>
      </w:r>
      <w:r w:rsidRPr="00B43AA6">
        <w:rPr>
          <w:rFonts w:ascii="Verdana" w:hAnsi="Verdana"/>
          <w:sz w:val="22"/>
          <w:szCs w:val="22"/>
        </w:rPr>
        <w:t xml:space="preserve">Wales </w:t>
      </w:r>
      <w:r>
        <w:rPr>
          <w:rFonts w:ascii="Verdana" w:hAnsi="Verdana"/>
          <w:sz w:val="22"/>
          <w:szCs w:val="22"/>
        </w:rPr>
        <w:t xml:space="preserve"> </w:t>
      </w:r>
      <w:r w:rsidRPr="00B43AA6">
        <w:rPr>
          <w:rFonts w:ascii="Verdana" w:hAnsi="Verdana"/>
          <w:sz w:val="22"/>
          <w:szCs w:val="22"/>
        </w:rPr>
        <w:t>guidance.</w:t>
      </w:r>
      <w:r>
        <w:rPr>
          <w:rFonts w:ascii="Verdana" w:hAnsi="Verdana"/>
          <w:sz w:val="22"/>
          <w:szCs w:val="22"/>
        </w:rPr>
        <w:t xml:space="preserve"> </w:t>
      </w:r>
      <w:r w:rsidRPr="00B43AA6">
        <w:rPr>
          <w:rFonts w:ascii="Verdana" w:hAnsi="Verdana"/>
          <w:sz w:val="22"/>
          <w:szCs w:val="22"/>
        </w:rPr>
        <w:t>GPs are advised to use NICE DG56 to refer symptomatic patients in for diagnosis of colorectal cancer which would then initiate Lynch syndrome testing as reflex.</w:t>
      </w:r>
    </w:p>
    <w:p w14:paraId="3D6F5819" w14:textId="531A13E7" w:rsidR="00B43AA6" w:rsidRPr="00B43AA6" w:rsidRDefault="00B43AA6" w:rsidP="00B43AA6">
      <w:pPr>
        <w:shd w:val="clear" w:color="auto" w:fill="FFFFFF"/>
        <w:ind w:left="1165"/>
        <w:rPr>
          <w:rFonts w:ascii="Verdana" w:hAnsi="Verdana"/>
          <w:sz w:val="22"/>
          <w:szCs w:val="22"/>
        </w:rPr>
      </w:pPr>
      <w:hyperlink r:id="rId9" w:history="1">
        <w:r w:rsidRPr="00B43AA6">
          <w:rPr>
            <w:rStyle w:val="Hyperlink"/>
            <w:rFonts w:ascii="Verdana" w:hAnsi="Verdana"/>
            <w:color w:val="C82613"/>
            <w:sz w:val="22"/>
            <w:szCs w:val="22"/>
          </w:rPr>
          <w:t>https://www.nice.org.uk/guidance/dg56</w:t>
        </w:r>
      </w:hyperlink>
    </w:p>
    <w:p w14:paraId="08D2B0CB" w14:textId="1BBB7AF2" w:rsidR="00B43AA6" w:rsidRPr="00EB7491" w:rsidRDefault="00B43AA6" w:rsidP="00EB7491">
      <w:pPr>
        <w:pStyle w:val="PlainText"/>
        <w:ind w:left="400" w:firstLine="320"/>
        <w:rPr>
          <w:rFonts w:ascii="Verdana" w:hAnsi="Verdana"/>
          <w:b/>
        </w:rPr>
      </w:pPr>
    </w:p>
    <w:p w14:paraId="408DB285" w14:textId="77777777" w:rsidR="00EB7491" w:rsidRDefault="00EB7491" w:rsidP="00EB7491">
      <w:pPr>
        <w:pStyle w:val="PlainText"/>
        <w:ind w:left="400"/>
        <w:rPr>
          <w:rFonts w:ascii="Verdana" w:hAnsi="Verdana"/>
          <w:b/>
        </w:rPr>
      </w:pPr>
      <w:r w:rsidRPr="00EB7491">
        <w:rPr>
          <w:rFonts w:ascii="Verdana" w:hAnsi="Verdana"/>
          <w:b/>
        </w:rPr>
        <w:t xml:space="preserve"> </w:t>
      </w:r>
      <w:r w:rsidRPr="00EB7491">
        <w:rPr>
          <w:rFonts w:ascii="Verdana" w:hAnsi="Verdana"/>
          <w:b/>
        </w:rPr>
        <w:tab/>
        <w:t xml:space="preserve">•      The number of patients formally diagnosed with Lynch Syndrome across </w:t>
      </w:r>
    </w:p>
    <w:p w14:paraId="230EA900" w14:textId="385E53E0" w:rsidR="00EB7491" w:rsidRDefault="00EB7491" w:rsidP="00EB7491">
      <w:pPr>
        <w:pStyle w:val="PlainText"/>
        <w:ind w:left="400"/>
        <w:rPr>
          <w:rFonts w:ascii="Verdana" w:hAnsi="Verdana"/>
          <w:b/>
        </w:rPr>
      </w:pPr>
      <w:r>
        <w:rPr>
          <w:rFonts w:ascii="Verdana" w:hAnsi="Verdana"/>
          <w:b/>
        </w:rPr>
        <w:t xml:space="preserve">            </w:t>
      </w:r>
      <w:r w:rsidRPr="00EB7491">
        <w:rPr>
          <w:rFonts w:ascii="Verdana" w:hAnsi="Verdana"/>
          <w:b/>
        </w:rPr>
        <w:t>your health board between January 2020 – present.</w:t>
      </w:r>
    </w:p>
    <w:p w14:paraId="15C499EF" w14:textId="51A56D3D" w:rsidR="00B43AA6" w:rsidRDefault="00B43AA6" w:rsidP="00EB7491">
      <w:pPr>
        <w:pStyle w:val="PlainText"/>
        <w:ind w:left="400"/>
        <w:rPr>
          <w:rFonts w:ascii="Verdana" w:hAnsi="Verdana"/>
          <w:b/>
        </w:rPr>
      </w:pPr>
      <w:r>
        <w:rPr>
          <w:rFonts w:ascii="Verdana" w:hAnsi="Verdana"/>
          <w:b/>
        </w:rPr>
        <w:tab/>
      </w:r>
      <w:r>
        <w:rPr>
          <w:rFonts w:ascii="Verdana" w:hAnsi="Verdana"/>
          <w:b/>
        </w:rPr>
        <w:tab/>
      </w:r>
    </w:p>
    <w:p w14:paraId="525CA6CF" w14:textId="6800B421" w:rsidR="00B43AA6" w:rsidRPr="00B43AA6" w:rsidRDefault="00B43AA6" w:rsidP="00B43AA6">
      <w:pPr>
        <w:pStyle w:val="PlainText"/>
        <w:ind w:left="1320"/>
        <w:rPr>
          <w:rFonts w:ascii="Verdana" w:hAnsi="Verdana"/>
          <w:b/>
        </w:rPr>
      </w:pPr>
      <w:r w:rsidRPr="00B43AA6">
        <w:rPr>
          <w:rFonts w:ascii="Verdana" w:hAnsi="Verdana"/>
        </w:rPr>
        <w:t>All Wales Medical Gen</w:t>
      </w:r>
      <w:r w:rsidR="00F412B7">
        <w:rPr>
          <w:rFonts w:ascii="Verdana" w:hAnsi="Verdana"/>
        </w:rPr>
        <w:t>omics Service</w:t>
      </w:r>
      <w:r>
        <w:rPr>
          <w:rFonts w:ascii="Verdana" w:hAnsi="Verdana"/>
        </w:rPr>
        <w:t xml:space="preserve"> (AWM</w:t>
      </w:r>
      <w:r w:rsidR="00F412B7">
        <w:rPr>
          <w:rFonts w:ascii="Verdana" w:hAnsi="Verdana"/>
        </w:rPr>
        <w:t>GS</w:t>
      </w:r>
      <w:r>
        <w:rPr>
          <w:rFonts w:ascii="Verdana" w:hAnsi="Verdana"/>
        </w:rPr>
        <w:t>)</w:t>
      </w:r>
      <w:r w:rsidRPr="00B43AA6">
        <w:rPr>
          <w:rFonts w:ascii="Verdana" w:hAnsi="Verdana"/>
        </w:rPr>
        <w:t xml:space="preserve"> data has found 24 Lynch syndrome cases confirmed from Swansea Bay </w:t>
      </w:r>
      <w:r>
        <w:rPr>
          <w:rFonts w:ascii="Verdana" w:hAnsi="Verdana"/>
        </w:rPr>
        <w:t xml:space="preserve">University Health Board. </w:t>
      </w:r>
      <w:r w:rsidR="00F412B7">
        <w:rPr>
          <w:rFonts w:ascii="Verdana" w:hAnsi="Verdana"/>
        </w:rPr>
        <w:t>There is currently a backlog in reporting within the</w:t>
      </w:r>
      <w:r w:rsidRPr="00B43AA6">
        <w:rPr>
          <w:rFonts w:ascii="Verdana" w:hAnsi="Verdana"/>
        </w:rPr>
        <w:t xml:space="preserve"> AWM</w:t>
      </w:r>
      <w:r w:rsidR="00F412B7">
        <w:rPr>
          <w:rFonts w:ascii="Verdana" w:hAnsi="Verdana"/>
        </w:rPr>
        <w:t>GS</w:t>
      </w:r>
      <w:r w:rsidRPr="00B43AA6">
        <w:rPr>
          <w:rFonts w:ascii="Verdana" w:hAnsi="Verdana"/>
        </w:rPr>
        <w:t xml:space="preserve"> lab </w:t>
      </w:r>
      <w:r>
        <w:rPr>
          <w:rFonts w:ascii="Verdana" w:hAnsi="Verdana"/>
        </w:rPr>
        <w:t xml:space="preserve">over time these figures may increase. </w:t>
      </w:r>
    </w:p>
    <w:p w14:paraId="157B8FCC" w14:textId="3B3E0C92" w:rsidR="00B43AA6" w:rsidRPr="00B43AA6" w:rsidRDefault="00B43AA6" w:rsidP="00EB7491">
      <w:pPr>
        <w:pStyle w:val="PlainText"/>
        <w:ind w:left="400"/>
        <w:rPr>
          <w:rFonts w:ascii="Verdana" w:hAnsi="Verdana"/>
          <w:b/>
        </w:rPr>
      </w:pPr>
      <w:r w:rsidRPr="00B43AA6">
        <w:rPr>
          <w:rFonts w:ascii="Verdana" w:hAnsi="Verdana"/>
          <w:b/>
        </w:rPr>
        <w:tab/>
        <w:t xml:space="preserve">        </w:t>
      </w:r>
    </w:p>
    <w:p w14:paraId="0476333B" w14:textId="77777777" w:rsidR="00EB7491" w:rsidRPr="00EB7491" w:rsidRDefault="00EB7491" w:rsidP="00EB7491">
      <w:pPr>
        <w:pStyle w:val="PlainText"/>
        <w:rPr>
          <w:rFonts w:ascii="Verdana" w:hAnsi="Verdana"/>
          <w:b/>
        </w:rPr>
      </w:pPr>
    </w:p>
    <w:p w14:paraId="459803D3" w14:textId="77777777" w:rsidR="00EB7491" w:rsidRPr="00EB7491" w:rsidRDefault="00EB7491" w:rsidP="00EB7491">
      <w:pPr>
        <w:pStyle w:val="PlainText"/>
        <w:ind w:firstLine="720"/>
        <w:rPr>
          <w:rFonts w:ascii="Verdana" w:hAnsi="Verdana"/>
          <w:b/>
        </w:rPr>
      </w:pPr>
      <w:r w:rsidRPr="00EB7491">
        <w:rPr>
          <w:rFonts w:ascii="Verdana" w:hAnsi="Verdana"/>
          <w:b/>
        </w:rPr>
        <w:t>b) Please disclose:</w:t>
      </w:r>
    </w:p>
    <w:p w14:paraId="07CAF09E" w14:textId="77777777" w:rsidR="00EB7491" w:rsidRDefault="00EB7491" w:rsidP="00EB7491">
      <w:pPr>
        <w:pStyle w:val="PlainText"/>
        <w:ind w:left="400" w:firstLine="320"/>
        <w:rPr>
          <w:rFonts w:ascii="Verdana" w:hAnsi="Verdana"/>
          <w:b/>
        </w:rPr>
      </w:pPr>
      <w:r w:rsidRPr="00EB7491">
        <w:rPr>
          <w:rFonts w:ascii="Verdana" w:hAnsi="Verdana"/>
          <w:b/>
        </w:rPr>
        <w:t xml:space="preserve">•       If there is a clinical pathway in place for ongoing surveillance (e.g., </w:t>
      </w:r>
    </w:p>
    <w:p w14:paraId="149A184E" w14:textId="77777777" w:rsidR="00EB7491" w:rsidRDefault="00EB7491" w:rsidP="00EB7491">
      <w:pPr>
        <w:pStyle w:val="PlainText"/>
        <w:ind w:left="400" w:firstLine="320"/>
        <w:rPr>
          <w:rFonts w:ascii="Verdana" w:hAnsi="Verdana"/>
          <w:b/>
        </w:rPr>
      </w:pPr>
      <w:r>
        <w:rPr>
          <w:rFonts w:ascii="Verdana" w:hAnsi="Verdana"/>
          <w:b/>
        </w:rPr>
        <w:t xml:space="preserve">         </w:t>
      </w:r>
      <w:r w:rsidRPr="00EB7491">
        <w:rPr>
          <w:rFonts w:ascii="Verdana" w:hAnsi="Verdana"/>
          <w:b/>
        </w:rPr>
        <w:t xml:space="preserve">colonoscopy, endoscopy, gynaecological screening) for Lynch-positive </w:t>
      </w:r>
      <w:r>
        <w:rPr>
          <w:rFonts w:ascii="Verdana" w:hAnsi="Verdana"/>
          <w:b/>
        </w:rPr>
        <w:t xml:space="preserve">    </w:t>
      </w:r>
    </w:p>
    <w:p w14:paraId="73D781A0" w14:textId="00D4E30D" w:rsidR="00EB7491" w:rsidRDefault="00EB7491" w:rsidP="00EB7491">
      <w:pPr>
        <w:pStyle w:val="PlainText"/>
        <w:ind w:left="400" w:firstLine="320"/>
        <w:rPr>
          <w:rFonts w:ascii="Verdana" w:hAnsi="Verdana"/>
          <w:b/>
        </w:rPr>
      </w:pPr>
      <w:r>
        <w:rPr>
          <w:rFonts w:ascii="Verdana" w:hAnsi="Verdana"/>
          <w:b/>
        </w:rPr>
        <w:t xml:space="preserve">         </w:t>
      </w:r>
      <w:r w:rsidRPr="00EB7491">
        <w:rPr>
          <w:rFonts w:ascii="Verdana" w:hAnsi="Verdana"/>
          <w:b/>
        </w:rPr>
        <w:t>individuals.</w:t>
      </w:r>
    </w:p>
    <w:p w14:paraId="02171F3A" w14:textId="1FCD56B5" w:rsidR="00B43AA6" w:rsidRPr="00B43AA6" w:rsidRDefault="00B43AA6" w:rsidP="00EB7491">
      <w:pPr>
        <w:pStyle w:val="PlainText"/>
        <w:ind w:left="400" w:firstLine="320"/>
        <w:rPr>
          <w:rFonts w:ascii="Verdana" w:hAnsi="Verdana"/>
          <w:b/>
        </w:rPr>
      </w:pPr>
    </w:p>
    <w:p w14:paraId="2384302D" w14:textId="3989A42F" w:rsidR="00B43AA6" w:rsidRPr="00B43AA6" w:rsidRDefault="00B43AA6" w:rsidP="00EB7491">
      <w:pPr>
        <w:pStyle w:val="PlainText"/>
        <w:ind w:left="400" w:firstLine="320"/>
        <w:rPr>
          <w:rFonts w:ascii="Verdana" w:hAnsi="Verdana"/>
          <w:b/>
        </w:rPr>
      </w:pPr>
      <w:r w:rsidRPr="00B43AA6">
        <w:rPr>
          <w:rFonts w:ascii="Verdana" w:hAnsi="Verdana"/>
          <w:b/>
        </w:rPr>
        <w:tab/>
      </w:r>
      <w:hyperlink r:id="rId10" w:history="1">
        <w:r w:rsidRPr="00B43AA6">
          <w:rPr>
            <w:rStyle w:val="Hyperlink"/>
            <w:rFonts w:ascii="Verdana" w:hAnsi="Verdana"/>
            <w:color w:val="C82613"/>
          </w:rPr>
          <w:t>Hereditary Colorectal Cancer (CRC) Guidelines | BSG, ACPGBI &amp; UKCGG</w:t>
        </w:r>
      </w:hyperlink>
    </w:p>
    <w:p w14:paraId="74035776" w14:textId="77777777" w:rsidR="00B43AA6" w:rsidRPr="00EB7491" w:rsidRDefault="00B43AA6" w:rsidP="00EB7491">
      <w:pPr>
        <w:pStyle w:val="PlainText"/>
        <w:ind w:left="400" w:firstLine="320"/>
        <w:rPr>
          <w:rFonts w:ascii="Verdana" w:hAnsi="Verdana"/>
          <w:b/>
        </w:rPr>
      </w:pPr>
    </w:p>
    <w:p w14:paraId="7BDC3F80" w14:textId="77777777" w:rsidR="00EB7491" w:rsidRDefault="00EB7491" w:rsidP="00EB7491">
      <w:pPr>
        <w:pStyle w:val="PlainText"/>
        <w:ind w:left="400" w:firstLine="320"/>
        <w:rPr>
          <w:rFonts w:ascii="Verdana" w:hAnsi="Verdana"/>
          <w:b/>
        </w:rPr>
      </w:pPr>
      <w:r w:rsidRPr="00EB7491">
        <w:rPr>
          <w:rFonts w:ascii="Verdana" w:hAnsi="Verdana"/>
          <w:b/>
        </w:rPr>
        <w:t xml:space="preserve">•       The maximum permitted diagnostic delay from suspicion to confirmation </w:t>
      </w:r>
    </w:p>
    <w:p w14:paraId="2D94DE5F" w14:textId="3F3F4041" w:rsidR="00EB7491" w:rsidRDefault="00EB7491" w:rsidP="00EB7491">
      <w:pPr>
        <w:pStyle w:val="PlainText"/>
        <w:ind w:left="400" w:firstLine="320"/>
        <w:rPr>
          <w:rFonts w:ascii="Verdana" w:hAnsi="Verdana"/>
          <w:b/>
        </w:rPr>
      </w:pPr>
      <w:r>
        <w:rPr>
          <w:rFonts w:ascii="Verdana" w:hAnsi="Verdana"/>
          <w:b/>
        </w:rPr>
        <w:t xml:space="preserve">         </w:t>
      </w:r>
      <w:r w:rsidRPr="00EB7491">
        <w:rPr>
          <w:rFonts w:ascii="Verdana" w:hAnsi="Verdana"/>
          <w:b/>
        </w:rPr>
        <w:t>and pathway entry for Lynch Syndrome under current protocols.</w:t>
      </w:r>
    </w:p>
    <w:p w14:paraId="3B4B7475" w14:textId="4E92151A" w:rsidR="00B43AA6" w:rsidRDefault="00B43AA6" w:rsidP="00B43AA6">
      <w:pPr>
        <w:pStyle w:val="PlainText"/>
        <w:ind w:left="1040"/>
        <w:rPr>
          <w:rFonts w:ascii="Verdana" w:hAnsi="Verdana"/>
          <w:color w:val="000000"/>
        </w:rPr>
      </w:pPr>
      <w:r w:rsidRPr="00B43AA6">
        <w:rPr>
          <w:rFonts w:ascii="Verdana" w:hAnsi="Verdana"/>
        </w:rPr>
        <w:lastRenderedPageBreak/>
        <w:t>We aim to be within 6 months overdue as maximum. The position for SBUHB exceeded that until recently due to COVID backlogs, when a project funded by the Moondance Cancer Initiative brought the waiting times down to below the 6 months</w:t>
      </w:r>
      <w:r w:rsidRPr="00B43AA6">
        <w:rPr>
          <w:rFonts w:ascii="Verdana" w:hAnsi="Verdana"/>
          <w:color w:val="000000"/>
        </w:rPr>
        <w:t xml:space="preserve">: </w:t>
      </w:r>
    </w:p>
    <w:p w14:paraId="19086E62" w14:textId="77777777" w:rsidR="00B43AA6" w:rsidRDefault="00B43AA6" w:rsidP="00B43AA6">
      <w:pPr>
        <w:pStyle w:val="PlainText"/>
        <w:ind w:left="1040"/>
        <w:rPr>
          <w:rFonts w:ascii="Verdana" w:hAnsi="Verdana"/>
          <w:color w:val="000000"/>
        </w:rPr>
      </w:pPr>
    </w:p>
    <w:p w14:paraId="7890D726" w14:textId="7BC8CE47" w:rsidR="00B43AA6" w:rsidRPr="008753CF" w:rsidRDefault="00B43AA6" w:rsidP="00B43AA6">
      <w:pPr>
        <w:pStyle w:val="PlainText"/>
        <w:ind w:left="1040"/>
        <w:rPr>
          <w:rFonts w:ascii="Verdana" w:hAnsi="Verdana"/>
          <w:b/>
          <w:color w:val="C00000"/>
        </w:rPr>
      </w:pPr>
      <w:hyperlink r:id="rId11" w:history="1">
        <w:r w:rsidRPr="008753CF">
          <w:rPr>
            <w:rStyle w:val="Hyperlink"/>
            <w:rFonts w:ascii="Verdana" w:hAnsi="Verdana"/>
            <w:color w:val="C00000"/>
          </w:rPr>
          <w:t>https://moondance-cancer.wales/projects/prioritising-the-colonoscopy-backlog-for-earlier-cancer-detection</w:t>
        </w:r>
      </w:hyperlink>
    </w:p>
    <w:p w14:paraId="3910B38A" w14:textId="50C48FCC" w:rsidR="00B43AA6" w:rsidRPr="00EB7491" w:rsidRDefault="00B43AA6" w:rsidP="00EB7491">
      <w:pPr>
        <w:pStyle w:val="PlainText"/>
        <w:ind w:left="400" w:firstLine="320"/>
        <w:rPr>
          <w:rFonts w:ascii="Verdana" w:hAnsi="Verdana"/>
          <w:b/>
        </w:rPr>
      </w:pPr>
      <w:r>
        <w:rPr>
          <w:rFonts w:ascii="Verdana" w:hAnsi="Verdana"/>
          <w:b/>
        </w:rPr>
        <w:tab/>
      </w:r>
    </w:p>
    <w:p w14:paraId="10D6ED32" w14:textId="77777777" w:rsidR="00EB7491" w:rsidRPr="00EB7491" w:rsidRDefault="00EB7491" w:rsidP="00EB7491">
      <w:pPr>
        <w:pStyle w:val="PlainText"/>
        <w:rPr>
          <w:rFonts w:ascii="Verdana" w:hAnsi="Verdana"/>
          <w:b/>
        </w:rPr>
      </w:pPr>
    </w:p>
    <w:p w14:paraId="20564B2B" w14:textId="77777777" w:rsidR="00EB7491" w:rsidRPr="00EB7491" w:rsidRDefault="00EB7491" w:rsidP="00EB7491">
      <w:pPr>
        <w:pStyle w:val="PlainText"/>
        <w:ind w:firstLine="720"/>
        <w:rPr>
          <w:rFonts w:ascii="Verdana" w:hAnsi="Verdana"/>
          <w:b/>
        </w:rPr>
      </w:pPr>
      <w:r w:rsidRPr="00EB7491">
        <w:rPr>
          <w:rFonts w:ascii="Verdana" w:hAnsi="Verdana"/>
          <w:b/>
        </w:rPr>
        <w:t>2. Cancer Risk Monitoring for Long-Term Omeprazole and PPI Use</w:t>
      </w:r>
    </w:p>
    <w:p w14:paraId="298E6659" w14:textId="77777777" w:rsidR="00EB7491" w:rsidRPr="00EB7491" w:rsidRDefault="00EB7491" w:rsidP="00EB7491">
      <w:pPr>
        <w:pStyle w:val="PlainText"/>
        <w:rPr>
          <w:rFonts w:ascii="Verdana" w:hAnsi="Verdana"/>
          <w:b/>
        </w:rPr>
      </w:pPr>
    </w:p>
    <w:p w14:paraId="56F920DF" w14:textId="77777777" w:rsidR="00EB7491" w:rsidRPr="00EB7491" w:rsidRDefault="00EB7491" w:rsidP="00EB7491">
      <w:pPr>
        <w:pStyle w:val="PlainText"/>
        <w:ind w:firstLine="720"/>
        <w:rPr>
          <w:rFonts w:ascii="Verdana" w:hAnsi="Verdana"/>
          <w:b/>
        </w:rPr>
      </w:pPr>
      <w:r w:rsidRPr="00EB7491">
        <w:rPr>
          <w:rFonts w:ascii="Verdana" w:hAnsi="Verdana"/>
          <w:b/>
        </w:rPr>
        <w:t>a) Please provide all guidance or policies given to:</w:t>
      </w:r>
    </w:p>
    <w:p w14:paraId="3992CE9A" w14:textId="77777777" w:rsidR="00EB7491" w:rsidRDefault="00EB7491" w:rsidP="00EB7491">
      <w:pPr>
        <w:pStyle w:val="PlainText"/>
        <w:ind w:left="720"/>
        <w:rPr>
          <w:rFonts w:ascii="Verdana" w:hAnsi="Verdana"/>
          <w:b/>
        </w:rPr>
      </w:pPr>
      <w:r w:rsidRPr="00EB7491">
        <w:rPr>
          <w:rFonts w:ascii="Verdana" w:hAnsi="Verdana"/>
          <w:b/>
        </w:rPr>
        <w:t xml:space="preserve">•       GPs and primary care prescribers about maximum recommended </w:t>
      </w:r>
    </w:p>
    <w:p w14:paraId="2E6F0239" w14:textId="0A7AD26D" w:rsidR="00EB7491" w:rsidRPr="00EB7491" w:rsidRDefault="00EB7491" w:rsidP="00EB7491">
      <w:pPr>
        <w:pStyle w:val="PlainText"/>
        <w:ind w:left="720"/>
        <w:rPr>
          <w:rFonts w:ascii="Verdana" w:hAnsi="Verdana"/>
          <w:b/>
        </w:rPr>
      </w:pPr>
      <w:r>
        <w:rPr>
          <w:rFonts w:ascii="Verdana" w:hAnsi="Verdana"/>
          <w:b/>
        </w:rPr>
        <w:t xml:space="preserve">         </w:t>
      </w:r>
      <w:r w:rsidRPr="00EB7491">
        <w:rPr>
          <w:rFonts w:ascii="Verdana" w:hAnsi="Verdana"/>
          <w:b/>
        </w:rPr>
        <w:t>duration for Omeprazole or other Proton Pump Inhibitors (PPIs).</w:t>
      </w:r>
    </w:p>
    <w:p w14:paraId="5B3C7C9F" w14:textId="77777777" w:rsidR="00EB7491" w:rsidRDefault="00EB7491" w:rsidP="00EB7491">
      <w:pPr>
        <w:pStyle w:val="PlainText"/>
        <w:ind w:left="720"/>
        <w:rPr>
          <w:rFonts w:ascii="Verdana" w:hAnsi="Verdana"/>
          <w:b/>
        </w:rPr>
      </w:pPr>
      <w:r w:rsidRPr="00EB7491">
        <w:rPr>
          <w:rFonts w:ascii="Verdana" w:hAnsi="Verdana"/>
          <w:b/>
        </w:rPr>
        <w:t xml:space="preserve">•       Monitoring requirements or mandatory reviews for patients on </w:t>
      </w:r>
    </w:p>
    <w:p w14:paraId="73B51E2B" w14:textId="5EAE305F" w:rsidR="00EB7491" w:rsidRPr="00EB7491" w:rsidRDefault="00EB7491" w:rsidP="00EB7491">
      <w:pPr>
        <w:pStyle w:val="PlainText"/>
        <w:ind w:left="720"/>
        <w:rPr>
          <w:rFonts w:ascii="Verdana" w:hAnsi="Verdana"/>
          <w:b/>
        </w:rPr>
      </w:pPr>
      <w:r>
        <w:rPr>
          <w:rFonts w:ascii="Verdana" w:hAnsi="Verdana"/>
          <w:b/>
        </w:rPr>
        <w:t xml:space="preserve">         </w:t>
      </w:r>
      <w:r w:rsidRPr="00EB7491">
        <w:rPr>
          <w:rFonts w:ascii="Verdana" w:hAnsi="Verdana"/>
          <w:b/>
        </w:rPr>
        <w:t>Omeprazole for more than 12 weeks, particularly those with:</w:t>
      </w:r>
    </w:p>
    <w:p w14:paraId="0653532F" w14:textId="028F4CD8" w:rsidR="00EB7491" w:rsidRP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Chronic reflux</w:t>
      </w:r>
    </w:p>
    <w:p w14:paraId="45AAD36B" w14:textId="4E83A507" w:rsidR="00EB7491" w:rsidRP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Barrett’s Oesophagus</w:t>
      </w:r>
    </w:p>
    <w:p w14:paraId="457D8331" w14:textId="2B5EDDFB" w:rsidR="00EB7491" w:rsidRP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Eosinophilic or lymphocytic inflammation</w:t>
      </w:r>
    </w:p>
    <w:p w14:paraId="7B1EC809" w14:textId="6BACD74A" w:rsid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Genetic predispositions (e.g. Lynch Syndrome)</w:t>
      </w:r>
    </w:p>
    <w:p w14:paraId="60CC3215" w14:textId="14AA47BE" w:rsidR="008753CF" w:rsidRDefault="008753CF" w:rsidP="00EB7491">
      <w:pPr>
        <w:pStyle w:val="PlainText"/>
        <w:rPr>
          <w:rFonts w:ascii="Verdana" w:hAnsi="Verdana"/>
          <w:b/>
        </w:rPr>
      </w:pPr>
    </w:p>
    <w:p w14:paraId="638EFE04" w14:textId="05CACBF1" w:rsidR="008753CF" w:rsidRDefault="008753CF" w:rsidP="008753CF">
      <w:pPr>
        <w:pStyle w:val="PlainText"/>
        <w:ind w:left="1440"/>
        <w:rPr>
          <w:rFonts w:ascii="Verdana" w:hAnsi="Verdana"/>
          <w:bCs/>
        </w:rPr>
      </w:pPr>
      <w:r>
        <w:rPr>
          <w:rFonts w:ascii="Verdana" w:hAnsi="Verdana"/>
          <w:bCs/>
        </w:rPr>
        <w:t xml:space="preserve">The All Wales Therapeutics and Toxicology Centre provides guidance and policies relating to the above. </w:t>
      </w:r>
    </w:p>
    <w:p w14:paraId="4FFE9D83" w14:textId="2218E850" w:rsidR="008753CF" w:rsidRDefault="008753CF" w:rsidP="008753CF">
      <w:pPr>
        <w:pStyle w:val="PlainText"/>
        <w:ind w:left="1440"/>
        <w:rPr>
          <w:rFonts w:ascii="Verdana" w:hAnsi="Verdana"/>
          <w:bCs/>
        </w:rPr>
      </w:pPr>
    </w:p>
    <w:p w14:paraId="309503B4" w14:textId="05A49B40" w:rsidR="008753CF" w:rsidRPr="008753CF" w:rsidRDefault="008753CF" w:rsidP="008753CF">
      <w:pPr>
        <w:pStyle w:val="PlainText"/>
        <w:ind w:left="1440"/>
        <w:rPr>
          <w:rFonts w:ascii="Verdana" w:eastAsia="Times New Roman" w:hAnsi="Verdana" w:cs="Arial"/>
          <w:color w:val="C00000"/>
        </w:rPr>
      </w:pPr>
      <w:hyperlink r:id="rId12" w:history="1">
        <w:r w:rsidRPr="008753CF">
          <w:rPr>
            <w:rStyle w:val="Hyperlink"/>
            <w:rFonts w:ascii="Verdana" w:eastAsia="Times New Roman" w:hAnsi="Verdana" w:cs="Arial"/>
            <w:color w:val="C00000"/>
          </w:rPr>
          <w:t>Bulletin 267: PPIs - Long term safety and gastroprotection</w:t>
        </w:r>
      </w:hyperlink>
    </w:p>
    <w:p w14:paraId="16E48E0A" w14:textId="5929DA6A" w:rsidR="008753CF" w:rsidRPr="008753CF" w:rsidRDefault="008753CF" w:rsidP="008753CF">
      <w:pPr>
        <w:pStyle w:val="PlainText"/>
        <w:ind w:left="1440"/>
        <w:rPr>
          <w:rFonts w:ascii="Verdana" w:eastAsia="Times New Roman" w:hAnsi="Verdana" w:cs="Arial"/>
          <w:color w:val="C00000"/>
        </w:rPr>
      </w:pPr>
    </w:p>
    <w:p w14:paraId="35AD0AF8" w14:textId="0D913A56" w:rsidR="008753CF" w:rsidRPr="008753CF" w:rsidRDefault="008753CF" w:rsidP="008753CF">
      <w:pPr>
        <w:pStyle w:val="PlainText"/>
        <w:ind w:left="1440"/>
        <w:rPr>
          <w:rFonts w:ascii="Verdana" w:hAnsi="Verdana"/>
          <w:bCs/>
          <w:color w:val="C00000"/>
        </w:rPr>
      </w:pPr>
      <w:hyperlink r:id="rId13" w:history="1">
        <w:r w:rsidRPr="008753CF">
          <w:rPr>
            <w:rStyle w:val="Hyperlink"/>
            <w:rFonts w:ascii="Verdana" w:eastAsia="Times New Roman" w:hAnsi="Verdana" w:cs="Arial"/>
            <w:color w:val="C00000"/>
          </w:rPr>
          <w:t>Overview | Gastro-oesophageal reflux disease and dyspepsia in adults: investigation and management | Guidance | NICE</w:t>
        </w:r>
      </w:hyperlink>
    </w:p>
    <w:p w14:paraId="66ED0E48" w14:textId="77777777" w:rsidR="00EB7491" w:rsidRPr="008753CF" w:rsidRDefault="00EB7491" w:rsidP="00EB7491">
      <w:pPr>
        <w:pStyle w:val="PlainText"/>
        <w:rPr>
          <w:rFonts w:ascii="Verdana" w:hAnsi="Verdana"/>
          <w:b/>
        </w:rPr>
      </w:pPr>
    </w:p>
    <w:p w14:paraId="2F49DAAA" w14:textId="77777777" w:rsidR="00EB7491" w:rsidRPr="00EB7491" w:rsidRDefault="00EB7491" w:rsidP="00EB7491">
      <w:pPr>
        <w:pStyle w:val="PlainText"/>
        <w:ind w:firstLine="720"/>
        <w:rPr>
          <w:rFonts w:ascii="Verdana" w:hAnsi="Verdana"/>
          <w:b/>
        </w:rPr>
      </w:pPr>
      <w:r w:rsidRPr="00EB7491">
        <w:rPr>
          <w:rFonts w:ascii="Verdana" w:hAnsi="Verdana"/>
          <w:b/>
        </w:rPr>
        <w:t>b) Please disclose any:</w:t>
      </w:r>
    </w:p>
    <w:p w14:paraId="3B4906C5" w14:textId="77777777" w:rsid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xml:space="preserve">•       Cancer surveillance or referral pathways for patients on long-term PPI </w:t>
      </w:r>
    </w:p>
    <w:p w14:paraId="3F5684EC" w14:textId="3E7BFA3B" w:rsidR="00EB7491" w:rsidRDefault="00EB7491" w:rsidP="00EB7491">
      <w:pPr>
        <w:pStyle w:val="PlainText"/>
        <w:rPr>
          <w:rFonts w:ascii="Verdana" w:hAnsi="Verdana"/>
          <w:b/>
        </w:rPr>
      </w:pPr>
      <w:r>
        <w:rPr>
          <w:rFonts w:ascii="Verdana" w:hAnsi="Verdana"/>
          <w:b/>
        </w:rPr>
        <w:t xml:space="preserve">                   </w:t>
      </w:r>
      <w:r w:rsidRPr="00EB7491">
        <w:rPr>
          <w:rFonts w:ascii="Verdana" w:hAnsi="Verdana"/>
          <w:b/>
        </w:rPr>
        <w:t>therapy.</w:t>
      </w:r>
    </w:p>
    <w:p w14:paraId="353B733D" w14:textId="44C0C1C7" w:rsidR="00B43AA6" w:rsidRDefault="00B43AA6" w:rsidP="00EB7491">
      <w:pPr>
        <w:pStyle w:val="PlainText"/>
        <w:rPr>
          <w:rFonts w:ascii="Verdana" w:hAnsi="Verdana"/>
          <w:b/>
        </w:rPr>
      </w:pPr>
    </w:p>
    <w:p w14:paraId="6D132492" w14:textId="06791DA5" w:rsidR="00B43AA6" w:rsidRPr="00B43AA6" w:rsidRDefault="00B43AA6" w:rsidP="00B43AA6">
      <w:pPr>
        <w:pStyle w:val="PlainText"/>
        <w:ind w:left="1440"/>
        <w:rPr>
          <w:rFonts w:ascii="Verdana" w:hAnsi="Verdana"/>
          <w:color w:val="000000" w:themeColor="text1"/>
          <w:szCs w:val="22"/>
        </w:rPr>
      </w:pPr>
      <w:r w:rsidRPr="00B43AA6">
        <w:rPr>
          <w:rFonts w:ascii="Verdana" w:hAnsi="Verdana"/>
          <w:color w:val="000000" w:themeColor="text1"/>
        </w:rPr>
        <w:t>None within the health board specifically for PPI therapy in line with national guidance. We use NICE guidance for suspected malignancy referral pathways</w:t>
      </w:r>
    </w:p>
    <w:p w14:paraId="31D6C83C" w14:textId="126EE3B6" w:rsidR="00B43AA6" w:rsidRPr="00EB7491" w:rsidRDefault="00B43AA6" w:rsidP="00EB7491">
      <w:pPr>
        <w:pStyle w:val="PlainText"/>
        <w:rPr>
          <w:rFonts w:ascii="Verdana" w:hAnsi="Verdana"/>
          <w:b/>
        </w:rPr>
      </w:pPr>
    </w:p>
    <w:p w14:paraId="19802033" w14:textId="77777777" w:rsid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xml:space="preserve">•       Data collected on metaplasia, dysplasia, or gastric cancer incidence in </w:t>
      </w:r>
    </w:p>
    <w:p w14:paraId="7536316A" w14:textId="4DD3DF23" w:rsidR="00EB7491" w:rsidRDefault="00EB7491" w:rsidP="00EB7491">
      <w:pPr>
        <w:pStyle w:val="PlainText"/>
        <w:rPr>
          <w:rFonts w:ascii="Verdana" w:hAnsi="Verdana"/>
          <w:b/>
        </w:rPr>
      </w:pPr>
      <w:r>
        <w:rPr>
          <w:rFonts w:ascii="Verdana" w:hAnsi="Verdana"/>
          <w:b/>
        </w:rPr>
        <w:t xml:space="preserve">                   </w:t>
      </w:r>
      <w:r w:rsidRPr="00EB7491">
        <w:rPr>
          <w:rFonts w:ascii="Verdana" w:hAnsi="Verdana"/>
          <w:b/>
        </w:rPr>
        <w:t>patients prescribed PPIs &gt;6 months.</w:t>
      </w:r>
    </w:p>
    <w:p w14:paraId="54241C14" w14:textId="0856075B" w:rsidR="00B43AA6" w:rsidRDefault="00B43AA6" w:rsidP="00EB7491">
      <w:pPr>
        <w:pStyle w:val="PlainText"/>
        <w:rPr>
          <w:rFonts w:ascii="Verdana" w:hAnsi="Verdana"/>
          <w:b/>
        </w:rPr>
      </w:pPr>
    </w:p>
    <w:p w14:paraId="6764EA99" w14:textId="0D10D96B" w:rsidR="00B43AA6" w:rsidRDefault="00B43AA6" w:rsidP="00EB7491">
      <w:pPr>
        <w:pStyle w:val="PlainText"/>
        <w:rPr>
          <w:rFonts w:ascii="Verdana" w:hAnsi="Verdana"/>
          <w:bCs/>
        </w:rPr>
      </w:pPr>
      <w:r>
        <w:rPr>
          <w:rFonts w:ascii="Verdana" w:hAnsi="Verdana"/>
          <w:b/>
        </w:rPr>
        <w:tab/>
      </w:r>
      <w:r>
        <w:rPr>
          <w:rFonts w:ascii="Verdana" w:hAnsi="Verdana"/>
          <w:b/>
        </w:rPr>
        <w:tab/>
      </w:r>
      <w:r>
        <w:rPr>
          <w:rFonts w:ascii="Verdana" w:hAnsi="Verdana"/>
          <w:bCs/>
        </w:rPr>
        <w:t xml:space="preserve">No routine data collected on this. </w:t>
      </w:r>
    </w:p>
    <w:p w14:paraId="5A718DC0" w14:textId="77777777" w:rsidR="00B43AA6" w:rsidRPr="00B43AA6" w:rsidRDefault="00B43AA6" w:rsidP="00EB7491">
      <w:pPr>
        <w:pStyle w:val="PlainText"/>
        <w:rPr>
          <w:rFonts w:ascii="Verdana" w:hAnsi="Verdana"/>
          <w:bCs/>
        </w:rPr>
      </w:pPr>
    </w:p>
    <w:p w14:paraId="33E6B964" w14:textId="77777777" w:rsid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Audit data or pharmacovigilance assessments from 2020–2025 on PPI-</w:t>
      </w:r>
      <w:r>
        <w:rPr>
          <w:rFonts w:ascii="Verdana" w:hAnsi="Verdana"/>
          <w:b/>
        </w:rPr>
        <w:t xml:space="preserve"> </w:t>
      </w:r>
    </w:p>
    <w:p w14:paraId="3B12ADFD" w14:textId="5157DB36" w:rsidR="00EB7491" w:rsidRDefault="00EB7491" w:rsidP="00EB7491">
      <w:pPr>
        <w:pStyle w:val="PlainText"/>
        <w:rPr>
          <w:rFonts w:ascii="Verdana" w:hAnsi="Verdana"/>
          <w:b/>
        </w:rPr>
      </w:pPr>
      <w:r>
        <w:rPr>
          <w:rFonts w:ascii="Verdana" w:hAnsi="Verdana"/>
          <w:b/>
        </w:rPr>
        <w:t xml:space="preserve">                   </w:t>
      </w:r>
      <w:r w:rsidRPr="00EB7491">
        <w:rPr>
          <w:rFonts w:ascii="Verdana" w:hAnsi="Verdana"/>
          <w:b/>
        </w:rPr>
        <w:t>related cancer risk and whether flagged patients were followed up.</w:t>
      </w:r>
    </w:p>
    <w:p w14:paraId="32818601" w14:textId="2DFE909B" w:rsidR="00B43AA6" w:rsidRDefault="00B43AA6" w:rsidP="00EB7491">
      <w:pPr>
        <w:pStyle w:val="PlainText"/>
        <w:rPr>
          <w:rFonts w:ascii="Verdana" w:hAnsi="Verdana"/>
          <w:b/>
        </w:rPr>
      </w:pPr>
    </w:p>
    <w:p w14:paraId="2F9D7B8D" w14:textId="1F8FE11D" w:rsidR="00B43AA6" w:rsidRPr="00B43AA6" w:rsidRDefault="00B43AA6" w:rsidP="00B43AA6">
      <w:pPr>
        <w:pStyle w:val="PlainText"/>
        <w:ind w:left="1440"/>
        <w:rPr>
          <w:rFonts w:ascii="Verdana" w:hAnsi="Verdana"/>
          <w:color w:val="000000" w:themeColor="text1"/>
          <w:sz w:val="24"/>
          <w:szCs w:val="24"/>
        </w:rPr>
      </w:pPr>
      <w:r w:rsidRPr="00B43AA6">
        <w:rPr>
          <w:rFonts w:ascii="Verdana" w:hAnsi="Verdana"/>
          <w:color w:val="000000" w:themeColor="text1"/>
        </w:rPr>
        <w:t>No Audit</w:t>
      </w:r>
      <w:r>
        <w:rPr>
          <w:rFonts w:ascii="Verdana" w:hAnsi="Verdana"/>
          <w:color w:val="000000" w:themeColor="text1"/>
        </w:rPr>
        <w:t>s or Pharmacovigilance assessments</w:t>
      </w:r>
      <w:r w:rsidRPr="00B43AA6">
        <w:rPr>
          <w:rFonts w:ascii="Verdana" w:hAnsi="Verdana"/>
          <w:color w:val="000000" w:themeColor="text1"/>
        </w:rPr>
        <w:t xml:space="preserve"> performed</w:t>
      </w:r>
      <w:r>
        <w:rPr>
          <w:rFonts w:ascii="Verdana" w:hAnsi="Verdana"/>
          <w:color w:val="000000" w:themeColor="text1"/>
        </w:rPr>
        <w:t>.</w:t>
      </w:r>
    </w:p>
    <w:p w14:paraId="19FE65A6" w14:textId="4799917C" w:rsidR="00B43AA6" w:rsidRPr="00EB7491" w:rsidRDefault="00B43AA6" w:rsidP="00EB7491">
      <w:pPr>
        <w:pStyle w:val="PlainText"/>
        <w:rPr>
          <w:rFonts w:ascii="Verdana" w:hAnsi="Verdana"/>
          <w:b/>
        </w:rPr>
      </w:pPr>
    </w:p>
    <w:p w14:paraId="56A98DC3" w14:textId="77777777" w:rsidR="00EB7491" w:rsidRPr="00EB7491" w:rsidRDefault="00EB7491" w:rsidP="00EB7491">
      <w:pPr>
        <w:pStyle w:val="PlainText"/>
        <w:rPr>
          <w:rFonts w:ascii="Verdana" w:hAnsi="Verdana"/>
          <w:b/>
        </w:rPr>
      </w:pPr>
    </w:p>
    <w:p w14:paraId="2894A2CC" w14:textId="77777777" w:rsidR="00EB7491" w:rsidRPr="00EB7491" w:rsidRDefault="00EB7491" w:rsidP="00EB7491">
      <w:pPr>
        <w:pStyle w:val="PlainText"/>
        <w:ind w:firstLine="720"/>
        <w:rPr>
          <w:rFonts w:ascii="Verdana" w:hAnsi="Verdana"/>
          <w:b/>
        </w:rPr>
      </w:pPr>
      <w:r w:rsidRPr="00EB7491">
        <w:rPr>
          <w:rFonts w:ascii="Verdana" w:hAnsi="Verdana"/>
          <w:b/>
        </w:rPr>
        <w:t>3. Failure-to-Monitor Pathway Breach Data</w:t>
      </w:r>
    </w:p>
    <w:p w14:paraId="693645A6" w14:textId="77777777" w:rsidR="00EB7491" w:rsidRPr="00EB7491" w:rsidRDefault="00EB7491" w:rsidP="00EB7491">
      <w:pPr>
        <w:pStyle w:val="PlainText"/>
        <w:rPr>
          <w:rFonts w:ascii="Verdana" w:hAnsi="Verdana"/>
          <w:b/>
        </w:rPr>
      </w:pPr>
    </w:p>
    <w:p w14:paraId="621ACD77" w14:textId="77777777" w:rsidR="00EB7491" w:rsidRPr="00EB7491" w:rsidRDefault="00EB7491" w:rsidP="00EB7491">
      <w:pPr>
        <w:pStyle w:val="PlainText"/>
        <w:ind w:firstLine="720"/>
        <w:rPr>
          <w:rFonts w:ascii="Verdana" w:hAnsi="Verdana"/>
          <w:b/>
        </w:rPr>
      </w:pPr>
      <w:r w:rsidRPr="00EB7491">
        <w:rPr>
          <w:rFonts w:ascii="Verdana" w:hAnsi="Verdana"/>
          <w:b/>
        </w:rPr>
        <w:t>Please disclose any:</w:t>
      </w:r>
    </w:p>
    <w:p w14:paraId="1CEF5D77" w14:textId="77777777" w:rsid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xml:space="preserve">•       Internal reports or reviews identifying breaches in NICE guidelines </w:t>
      </w:r>
    </w:p>
    <w:p w14:paraId="344E4DBF" w14:textId="77777777" w:rsidR="00EB7491" w:rsidRDefault="00EB7491" w:rsidP="00EB7491">
      <w:pPr>
        <w:pStyle w:val="PlainText"/>
        <w:rPr>
          <w:rFonts w:ascii="Verdana" w:hAnsi="Verdana"/>
          <w:b/>
        </w:rPr>
      </w:pPr>
      <w:r>
        <w:rPr>
          <w:rFonts w:ascii="Verdana" w:hAnsi="Verdana"/>
          <w:b/>
        </w:rPr>
        <w:lastRenderedPageBreak/>
        <w:t xml:space="preserve">                   </w:t>
      </w:r>
      <w:r w:rsidRPr="00EB7491">
        <w:rPr>
          <w:rFonts w:ascii="Verdana" w:hAnsi="Verdana"/>
          <w:b/>
        </w:rPr>
        <w:t>relating to delayed surveillance for Lynch Syndrome or Omeprazole</w:t>
      </w:r>
      <w:r>
        <w:rPr>
          <w:rFonts w:ascii="Verdana" w:hAnsi="Verdana"/>
          <w:b/>
        </w:rPr>
        <w:t xml:space="preserve"> </w:t>
      </w:r>
    </w:p>
    <w:p w14:paraId="3949381B" w14:textId="71E3841F" w:rsidR="00EB7491" w:rsidRDefault="00EB7491" w:rsidP="00EB7491">
      <w:pPr>
        <w:pStyle w:val="PlainText"/>
        <w:rPr>
          <w:rFonts w:ascii="Verdana" w:hAnsi="Verdana"/>
          <w:b/>
        </w:rPr>
      </w:pPr>
      <w:r>
        <w:rPr>
          <w:rFonts w:ascii="Verdana" w:hAnsi="Verdana"/>
          <w:b/>
        </w:rPr>
        <w:t xml:space="preserve">                   </w:t>
      </w:r>
      <w:r w:rsidRPr="00EB7491">
        <w:rPr>
          <w:rFonts w:ascii="Verdana" w:hAnsi="Verdana"/>
          <w:b/>
        </w:rPr>
        <w:t>related cancer risk.</w:t>
      </w:r>
    </w:p>
    <w:p w14:paraId="40509891" w14:textId="6EF9BD87" w:rsidR="00B43AA6" w:rsidRDefault="00B43AA6" w:rsidP="00EB7491">
      <w:pPr>
        <w:pStyle w:val="PlainText"/>
        <w:rPr>
          <w:rFonts w:ascii="Verdana" w:hAnsi="Verdana"/>
          <w:b/>
        </w:rPr>
      </w:pPr>
    </w:p>
    <w:p w14:paraId="03A573F6" w14:textId="09345701" w:rsidR="008753CF" w:rsidRPr="008753CF" w:rsidRDefault="008753CF" w:rsidP="008753CF">
      <w:pPr>
        <w:ind w:left="1435"/>
        <w:rPr>
          <w:rFonts w:ascii="Verdana" w:hAnsi="Verdana"/>
          <w:iCs/>
          <w:sz w:val="22"/>
          <w:szCs w:val="22"/>
        </w:rPr>
      </w:pPr>
      <w:r w:rsidRPr="008753CF">
        <w:rPr>
          <w:rFonts w:ascii="Verdana" w:hAnsi="Verdana"/>
          <w:bCs/>
          <w:sz w:val="22"/>
          <w:szCs w:val="22"/>
        </w:rPr>
        <w:t xml:space="preserve">This information has been withheld. </w:t>
      </w:r>
      <w:r w:rsidRPr="008753CF">
        <w:rPr>
          <w:rFonts w:ascii="Verdana" w:hAnsi="Verdana"/>
          <w:iCs/>
          <w:sz w:val="22"/>
          <w:szCs w:val="22"/>
        </w:rPr>
        <w:t>We are unable to provide you with the level of detail you are seeking</w:t>
      </w:r>
      <w:r>
        <w:rPr>
          <w:rFonts w:ascii="Verdana" w:hAnsi="Verdana"/>
          <w:iCs/>
          <w:sz w:val="22"/>
          <w:szCs w:val="22"/>
        </w:rPr>
        <w:t xml:space="preserve"> </w:t>
      </w:r>
      <w:r w:rsidRPr="008753CF">
        <w:rPr>
          <w:rFonts w:ascii="Verdana" w:hAnsi="Verdana"/>
          <w:iCs/>
          <w:sz w:val="22"/>
          <w:szCs w:val="22"/>
        </w:rPr>
        <w:t>as there is a potential risk of identifying the individual</w:t>
      </w:r>
      <w:r>
        <w:rPr>
          <w:rFonts w:ascii="Verdana" w:hAnsi="Verdana"/>
          <w:iCs/>
          <w:sz w:val="22"/>
          <w:szCs w:val="22"/>
        </w:rPr>
        <w:t>/s</w:t>
      </w:r>
      <w:r w:rsidRPr="008753CF">
        <w:rPr>
          <w:rFonts w:ascii="Verdana" w:hAnsi="Verdana"/>
          <w:iCs/>
          <w:sz w:val="22"/>
          <w:szCs w:val="22"/>
        </w:rPr>
        <w:t xml:space="preserve">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8753CF">
        <w:rPr>
          <w:rFonts w:ascii="Verdana" w:hAnsi="Verdana"/>
          <w:bCs/>
          <w:iCs/>
          <w:sz w:val="22"/>
          <w:szCs w:val="22"/>
        </w:rPr>
        <w:t>in regard to</w:t>
      </w:r>
      <w:r w:rsidRPr="008753CF">
        <w:rPr>
          <w:rFonts w:ascii="Verdana" w:hAnsi="Verdana"/>
          <w:iCs/>
          <w:sz w:val="22"/>
          <w:szCs w:val="22"/>
        </w:rPr>
        <w:t xml:space="preserve"> Articles 5, 6, and 9 of GDPR</w:t>
      </w:r>
      <w:r w:rsidRPr="008753CF">
        <w:rPr>
          <w:rFonts w:ascii="Verdana" w:hAnsi="Verdana"/>
          <w:b/>
          <w:bCs/>
          <w:iCs/>
          <w:sz w:val="22"/>
          <w:szCs w:val="22"/>
        </w:rPr>
        <w:t xml:space="preserve">. </w:t>
      </w:r>
      <w:r w:rsidRPr="008753CF">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535F433E" w14:textId="77777777" w:rsidR="00B43AA6" w:rsidRPr="00EB7491" w:rsidRDefault="00B43AA6" w:rsidP="00EB7491">
      <w:pPr>
        <w:pStyle w:val="PlainText"/>
        <w:rPr>
          <w:rFonts w:ascii="Verdana" w:hAnsi="Verdana"/>
          <w:b/>
        </w:rPr>
      </w:pPr>
    </w:p>
    <w:p w14:paraId="4F4DFC8F" w14:textId="77777777" w:rsidR="00EB7491" w:rsidRDefault="00EB7491" w:rsidP="00EB7491">
      <w:pPr>
        <w:pStyle w:val="PlainText"/>
        <w:rPr>
          <w:rFonts w:ascii="Verdana" w:hAnsi="Verdana"/>
          <w:b/>
        </w:rPr>
      </w:pPr>
      <w:r w:rsidRPr="00EB7491">
        <w:rPr>
          <w:rFonts w:ascii="Verdana" w:hAnsi="Verdana"/>
          <w:b/>
        </w:rPr>
        <w:t xml:space="preserve">       </w:t>
      </w:r>
      <w:r w:rsidRPr="00EB7491">
        <w:rPr>
          <w:rFonts w:ascii="Verdana" w:hAnsi="Verdana"/>
          <w:b/>
        </w:rPr>
        <w:tab/>
        <w:t xml:space="preserve"> •       Communications or incident logs involving harm caused or alleged harm </w:t>
      </w:r>
    </w:p>
    <w:p w14:paraId="1CC29E42" w14:textId="2FFCC8A3" w:rsidR="00EB7491" w:rsidRDefault="00EB7491" w:rsidP="00EB7491">
      <w:pPr>
        <w:pStyle w:val="PlainText"/>
        <w:rPr>
          <w:rFonts w:ascii="Verdana" w:hAnsi="Verdana"/>
          <w:b/>
        </w:rPr>
      </w:pPr>
      <w:r>
        <w:rPr>
          <w:rFonts w:ascii="Verdana" w:hAnsi="Verdana"/>
          <w:b/>
        </w:rPr>
        <w:t xml:space="preserve">                   </w:t>
      </w:r>
      <w:r w:rsidRPr="00EB7491">
        <w:rPr>
          <w:rFonts w:ascii="Verdana" w:hAnsi="Verdana"/>
          <w:b/>
        </w:rPr>
        <w:t xml:space="preserve">due to diagnostic delay in patients with hereditary cancer risks or </w:t>
      </w:r>
    </w:p>
    <w:p w14:paraId="3D099206" w14:textId="30C2161D" w:rsidR="00EB7491" w:rsidRDefault="00EB7491" w:rsidP="00EB7491">
      <w:pPr>
        <w:pStyle w:val="PlainText"/>
        <w:rPr>
          <w:rFonts w:ascii="Verdana" w:hAnsi="Verdana"/>
          <w:b/>
        </w:rPr>
      </w:pPr>
      <w:r>
        <w:rPr>
          <w:rFonts w:ascii="Verdana" w:hAnsi="Verdana"/>
          <w:b/>
        </w:rPr>
        <w:t xml:space="preserve">                   </w:t>
      </w:r>
      <w:r w:rsidRPr="00EB7491">
        <w:rPr>
          <w:rFonts w:ascii="Verdana" w:hAnsi="Verdana"/>
          <w:b/>
        </w:rPr>
        <w:t>prolonged PPI use.</w:t>
      </w:r>
    </w:p>
    <w:p w14:paraId="20D7115C" w14:textId="77777777" w:rsidR="00B43AA6" w:rsidRDefault="00B43AA6" w:rsidP="00EB7491">
      <w:pPr>
        <w:pStyle w:val="PlainText"/>
        <w:rPr>
          <w:rFonts w:ascii="Verdana" w:hAnsi="Verdana"/>
          <w:b/>
        </w:rPr>
      </w:pPr>
    </w:p>
    <w:p w14:paraId="1EBA49C5" w14:textId="77777777" w:rsidR="008753CF" w:rsidRPr="008753CF" w:rsidRDefault="008753CF" w:rsidP="008753CF">
      <w:pPr>
        <w:ind w:left="1435"/>
        <w:rPr>
          <w:rFonts w:ascii="Verdana" w:hAnsi="Verdana"/>
          <w:iCs/>
          <w:sz w:val="22"/>
          <w:szCs w:val="22"/>
        </w:rPr>
      </w:pPr>
      <w:r w:rsidRPr="008753CF">
        <w:rPr>
          <w:rFonts w:ascii="Verdana" w:hAnsi="Verdana"/>
          <w:bCs/>
          <w:sz w:val="22"/>
          <w:szCs w:val="22"/>
        </w:rPr>
        <w:t xml:space="preserve">This information has been withheld. </w:t>
      </w:r>
      <w:r w:rsidRPr="008753CF">
        <w:rPr>
          <w:rFonts w:ascii="Verdana" w:hAnsi="Verdana"/>
          <w:iCs/>
          <w:sz w:val="22"/>
          <w:szCs w:val="22"/>
        </w:rPr>
        <w:t>We are unable to provide you with the level of detail you are seeking</w:t>
      </w:r>
      <w:r>
        <w:rPr>
          <w:rFonts w:ascii="Verdana" w:hAnsi="Verdana"/>
          <w:iCs/>
          <w:sz w:val="22"/>
          <w:szCs w:val="22"/>
        </w:rPr>
        <w:t xml:space="preserve"> </w:t>
      </w:r>
      <w:r w:rsidRPr="008753CF">
        <w:rPr>
          <w:rFonts w:ascii="Verdana" w:hAnsi="Verdana"/>
          <w:iCs/>
          <w:sz w:val="22"/>
          <w:szCs w:val="22"/>
        </w:rPr>
        <w:t>as there is a potential risk of identifying the individual</w:t>
      </w:r>
      <w:r>
        <w:rPr>
          <w:rFonts w:ascii="Verdana" w:hAnsi="Verdana"/>
          <w:iCs/>
          <w:sz w:val="22"/>
          <w:szCs w:val="22"/>
        </w:rPr>
        <w:t>/s</w:t>
      </w:r>
      <w:r w:rsidRPr="008753CF">
        <w:rPr>
          <w:rFonts w:ascii="Verdana" w:hAnsi="Verdana"/>
          <w:iCs/>
          <w:sz w:val="22"/>
          <w:szCs w:val="22"/>
        </w:rPr>
        <w:t xml:space="preserve">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8753CF">
        <w:rPr>
          <w:rFonts w:ascii="Verdana" w:hAnsi="Verdana"/>
          <w:bCs/>
          <w:iCs/>
          <w:sz w:val="22"/>
          <w:szCs w:val="22"/>
        </w:rPr>
        <w:t>in regard to</w:t>
      </w:r>
      <w:r w:rsidRPr="008753CF">
        <w:rPr>
          <w:rFonts w:ascii="Verdana" w:hAnsi="Verdana"/>
          <w:iCs/>
          <w:sz w:val="22"/>
          <w:szCs w:val="22"/>
        </w:rPr>
        <w:t xml:space="preserve"> Articles 5, 6, and 9 of GDPR</w:t>
      </w:r>
      <w:r w:rsidRPr="008753CF">
        <w:rPr>
          <w:rFonts w:ascii="Verdana" w:hAnsi="Verdana"/>
          <w:b/>
          <w:bCs/>
          <w:iCs/>
          <w:sz w:val="22"/>
          <w:szCs w:val="22"/>
        </w:rPr>
        <w:t xml:space="preserve">. </w:t>
      </w:r>
      <w:r w:rsidRPr="008753CF">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6AA7A8F4" w:rsidR="00A10460" w:rsidRDefault="00421E7F" w:rsidP="00EB7491">
      <w:pPr>
        <w:pStyle w:val="PlainText"/>
        <w:rPr>
          <w:rFonts w:ascii="Verdana" w:hAnsi="Verdana"/>
          <w:b/>
          <w:bCs/>
          <w:noProof/>
          <w:szCs w:val="22"/>
        </w:rPr>
      </w:pPr>
      <w:r>
        <w:rPr>
          <w:rFonts w:ascii="Verdana" w:hAnsi="Verdana"/>
          <w:b/>
          <w:bCs/>
          <w:noProof/>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14"/>
      <w:headerReference w:type="default" r:id="rId15"/>
      <w:footerReference w:type="even" r:id="rId16"/>
      <w:footerReference w:type="default" r:id="rId17"/>
      <w:headerReference w:type="first" r:id="rId18"/>
      <w:footerReference w:type="first" r:id="rId19"/>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4" type="#_x0000_t75" style="width:20.5pt;height:20.5pt;visibility:visible;mso-wrap-style:square" o:bullet="t">
        <v:imagedata r:id="rId1" o:title=""/>
      </v:shape>
    </w:pict>
  </w:numPicBullet>
  <w:numPicBullet w:numPicBulletId="1">
    <w:pict>
      <v:shape id="_x0000_i1085" type="#_x0000_t75" style="width:382.5pt;height:382.5pt;visibility:visible;mso-wrap-style:square" o:bullet="t">
        <v:imagedata r:id="rId2" o:title=""/>
      </v:shape>
    </w:pict>
  </w:numPicBullet>
  <w:numPicBullet w:numPicBulletId="2">
    <w:pict>
      <v:shape id="_x0000_i1086" type="#_x0000_t75" style="width:225.5pt;height:225.5pt;visibility:visible;mso-wrap-style:square" o:bullet="t">
        <v:imagedata r:id="rId3" o:title=""/>
      </v:shape>
    </w:pict>
  </w:numPicBullet>
  <w:numPicBullet w:numPicBulletId="3">
    <w:pict>
      <v:shape id="_x0000_i108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2358133">
    <w:abstractNumId w:val="13"/>
  </w:num>
  <w:num w:numId="2" w16cid:durableId="1009068512">
    <w:abstractNumId w:val="0"/>
  </w:num>
  <w:num w:numId="3" w16cid:durableId="621111793">
    <w:abstractNumId w:val="8"/>
  </w:num>
  <w:num w:numId="4" w16cid:durableId="1200819267">
    <w:abstractNumId w:val="15"/>
  </w:num>
  <w:num w:numId="5" w16cid:durableId="526721677">
    <w:abstractNumId w:val="4"/>
  </w:num>
  <w:num w:numId="6" w16cid:durableId="829753876">
    <w:abstractNumId w:val="3"/>
  </w:num>
  <w:num w:numId="7" w16cid:durableId="1566523873">
    <w:abstractNumId w:val="10"/>
  </w:num>
  <w:num w:numId="8" w16cid:durableId="181013849">
    <w:abstractNumId w:val="14"/>
  </w:num>
  <w:num w:numId="9" w16cid:durableId="1007710251">
    <w:abstractNumId w:val="17"/>
  </w:num>
  <w:num w:numId="10" w16cid:durableId="911349291">
    <w:abstractNumId w:val="1"/>
  </w:num>
  <w:num w:numId="11" w16cid:durableId="1045570493">
    <w:abstractNumId w:val="9"/>
  </w:num>
  <w:num w:numId="12" w16cid:durableId="1436053873">
    <w:abstractNumId w:val="12"/>
  </w:num>
  <w:num w:numId="13" w16cid:durableId="488133090">
    <w:abstractNumId w:val="16"/>
  </w:num>
  <w:num w:numId="14" w16cid:durableId="10108322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813919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41174157">
    <w:abstractNumId w:val="11"/>
  </w:num>
  <w:num w:numId="17" w16cid:durableId="895778050">
    <w:abstractNumId w:val="5"/>
  </w:num>
  <w:num w:numId="18" w16cid:durableId="4542957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7E76"/>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753CF"/>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3AA6"/>
    <w:rsid w:val="00B6046B"/>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3750"/>
    <w:rsid w:val="00DC47F3"/>
    <w:rsid w:val="00DC7FA9"/>
    <w:rsid w:val="00DD5E37"/>
    <w:rsid w:val="00DF2EA1"/>
    <w:rsid w:val="00E11F2D"/>
    <w:rsid w:val="00E26720"/>
    <w:rsid w:val="00E545D8"/>
    <w:rsid w:val="00E817B3"/>
    <w:rsid w:val="00E90BC7"/>
    <w:rsid w:val="00EB7491"/>
    <w:rsid w:val="00EE0615"/>
    <w:rsid w:val="00F26B29"/>
    <w:rsid w:val="00F412B7"/>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EB7491"/>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EB7491"/>
    <w:rPr>
      <w:rFonts w:ascii="Calibri" w:eastAsiaTheme="minorHAnsi" w:hAnsi="Calibri" w:cstheme="minorBidi"/>
      <w:sz w:val="22"/>
      <w:szCs w:val="21"/>
      <w:lang w:eastAsia="en-US"/>
    </w:rPr>
  </w:style>
  <w:style w:type="character" w:styleId="UnresolvedMention">
    <w:name w:val="Unresolved Mention"/>
    <w:basedOn w:val="DefaultParagraphFont"/>
    <w:uiPriority w:val="99"/>
    <w:semiHidden/>
    <w:unhideWhenUsed/>
    <w:rsid w:val="00B43AA6"/>
    <w:rPr>
      <w:color w:val="605E5C"/>
      <w:shd w:val="clear" w:color="auto" w:fill="E1DFDD"/>
    </w:rPr>
  </w:style>
  <w:style w:type="character" w:styleId="FollowedHyperlink">
    <w:name w:val="FollowedHyperlink"/>
    <w:basedOn w:val="DefaultParagraphFont"/>
    <w:uiPriority w:val="99"/>
    <w:semiHidden/>
    <w:unhideWhenUsed/>
    <w:rsid w:val="00B43AA6"/>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2398192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92289001">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02880113">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1115433">
      <w:bodyDiv w:val="1"/>
      <w:marLeft w:val="0"/>
      <w:marRight w:val="0"/>
      <w:marTop w:val="0"/>
      <w:marBottom w:val="0"/>
      <w:divBdr>
        <w:top w:val="none" w:sz="0" w:space="0" w:color="auto"/>
        <w:left w:val="none" w:sz="0" w:space="0" w:color="auto"/>
        <w:bottom w:val="none" w:sz="0" w:space="0" w:color="auto"/>
        <w:right w:val="none" w:sz="0" w:space="0" w:color="auto"/>
      </w:divBdr>
    </w:div>
    <w:div w:id="159628492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sg.org.uk/clinical-resource/guidelines-for-the-management-of-colorectal-cancer" TargetMode="External"/><Relationship Id="rId13" Type="http://schemas.openxmlformats.org/officeDocument/2006/relationships/hyperlink" Target="https://www.nice.org.uk/guidance/cg184"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prescqipp.info/our-resources/bulletins/bulletin-267-ppis-long-term-safety-and-gastroprotection/"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ondance-cancer.wales/projects/prioritising-the-colonoscopy-backlog-for-earlier-cancer-detection"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bsg.org.uk/clinical-resource/guidelines-for-the-management-of-colorectal-cancer"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nice.org.uk/guidance/dg56" TargetMode="Externa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135</TotalTime>
  <Pages>3</Pages>
  <Words>911</Words>
  <Characters>5195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29</cp:revision>
  <cp:lastPrinted>2019-03-26T11:11:00Z</cp:lastPrinted>
  <dcterms:created xsi:type="dcterms:W3CDTF">2021-09-13T07:38:00Z</dcterms:created>
  <dcterms:modified xsi:type="dcterms:W3CDTF">2025-07-02T08:25:00Z</dcterms:modified>
</cp:coreProperties>
</file>