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613EFD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C606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613EFD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C606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79FEBD1" w14:textId="3531BD79" w:rsidR="001C6067" w:rsidRPr="00896FD0" w:rsidRDefault="001C6067" w:rsidP="00896FD0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How many patients have been treated for advanced (FIGO Stages III and IV) ovarian (epithelial ovarian, fallopian tube or primary peritoneal) cancer over the last 3 months? If none, do you refer advanced ovarian cancer patients to another </w:t>
      </w:r>
      <w:r>
        <w:rPr>
          <w:rFonts w:ascii="Verdana" w:hAnsi="Verdana"/>
          <w:b/>
          <w:sz w:val="22"/>
        </w:rPr>
        <w:t>Health Board</w:t>
      </w:r>
      <w:r w:rsidRPr="001C6067">
        <w:rPr>
          <w:rFonts w:ascii="Verdana" w:hAnsi="Verdana"/>
          <w:b/>
          <w:sz w:val="22"/>
        </w:rPr>
        <w:t>, and if so which one?</w:t>
      </w:r>
      <w:r w:rsidR="00896FD0">
        <w:rPr>
          <w:rFonts w:ascii="Verdana" w:hAnsi="Verdana"/>
          <w:b/>
          <w:sz w:val="22"/>
        </w:rPr>
        <w:br/>
      </w:r>
      <w:r w:rsidR="00896FD0" w:rsidRPr="00896FD0">
        <w:rPr>
          <w:rFonts w:ascii="Verdana" w:hAnsi="Verdana"/>
          <w:bCs/>
          <w:sz w:val="22"/>
        </w:rPr>
        <w:t xml:space="preserve">8 patients who started </w:t>
      </w:r>
      <w:r w:rsidR="00896FD0">
        <w:rPr>
          <w:rFonts w:ascii="Verdana" w:hAnsi="Verdana"/>
          <w:bCs/>
          <w:sz w:val="22"/>
        </w:rPr>
        <w:t xml:space="preserve">their </w:t>
      </w:r>
      <w:r w:rsidR="00896FD0" w:rsidRPr="00896FD0">
        <w:rPr>
          <w:rFonts w:ascii="Verdana" w:hAnsi="Verdana"/>
          <w:bCs/>
          <w:sz w:val="22"/>
        </w:rPr>
        <w:t xml:space="preserve">pathway in SBU received first definitive treatment for advanced stage ovarian </w:t>
      </w:r>
      <w:r w:rsidR="00896FD0">
        <w:rPr>
          <w:rFonts w:ascii="Verdana" w:hAnsi="Verdana"/>
          <w:bCs/>
          <w:sz w:val="22"/>
        </w:rPr>
        <w:t xml:space="preserve">cancer </w:t>
      </w:r>
      <w:r w:rsidR="00896FD0" w:rsidRPr="00896FD0">
        <w:rPr>
          <w:rFonts w:ascii="Verdana" w:hAnsi="Verdana"/>
          <w:bCs/>
          <w:sz w:val="22"/>
        </w:rPr>
        <w:t xml:space="preserve">(including </w:t>
      </w:r>
      <w:r w:rsidR="00896FD0">
        <w:rPr>
          <w:rFonts w:ascii="Verdana" w:hAnsi="Verdana"/>
          <w:bCs/>
          <w:sz w:val="22"/>
        </w:rPr>
        <w:t>primary peritoneal</w:t>
      </w:r>
      <w:r w:rsidR="00896FD0" w:rsidRPr="00896FD0">
        <w:rPr>
          <w:rFonts w:ascii="Verdana" w:hAnsi="Verdana"/>
          <w:bCs/>
          <w:sz w:val="22"/>
        </w:rPr>
        <w:t xml:space="preserve"> and fallopian) between Dec 24 and Feb 25. </w:t>
      </w:r>
      <w:r w:rsidR="00896FD0">
        <w:rPr>
          <w:rFonts w:ascii="Verdana" w:hAnsi="Verdana"/>
          <w:bCs/>
          <w:sz w:val="22"/>
        </w:rPr>
        <w:br/>
      </w:r>
      <w:r w:rsidR="00896FD0" w:rsidRPr="00896FD0">
        <w:rPr>
          <w:rFonts w:ascii="Verdana" w:hAnsi="Verdana"/>
          <w:bCs/>
          <w:sz w:val="22"/>
        </w:rPr>
        <w:t>A further 6 patient</w:t>
      </w:r>
      <w:r w:rsidR="00896FD0">
        <w:rPr>
          <w:rFonts w:ascii="Verdana" w:hAnsi="Verdana"/>
          <w:bCs/>
          <w:sz w:val="22"/>
        </w:rPr>
        <w:t>s</w:t>
      </w:r>
      <w:r w:rsidR="00896FD0" w:rsidRPr="00896FD0">
        <w:rPr>
          <w:rFonts w:ascii="Verdana" w:hAnsi="Verdana"/>
          <w:bCs/>
          <w:sz w:val="22"/>
        </w:rPr>
        <w:t xml:space="preserve"> received treatment here having started </w:t>
      </w:r>
      <w:r w:rsidR="00896FD0">
        <w:rPr>
          <w:rFonts w:ascii="Verdana" w:hAnsi="Verdana"/>
          <w:bCs/>
          <w:sz w:val="22"/>
        </w:rPr>
        <w:t xml:space="preserve">their </w:t>
      </w:r>
      <w:r w:rsidR="00896FD0" w:rsidRPr="00896FD0">
        <w:rPr>
          <w:rFonts w:ascii="Verdana" w:hAnsi="Verdana"/>
          <w:bCs/>
          <w:sz w:val="22"/>
        </w:rPr>
        <w:t xml:space="preserve">pathway in other </w:t>
      </w:r>
      <w:r w:rsidR="00896FD0">
        <w:rPr>
          <w:rFonts w:ascii="Verdana" w:hAnsi="Verdana"/>
          <w:bCs/>
          <w:sz w:val="22"/>
        </w:rPr>
        <w:t>Health Board</w:t>
      </w:r>
      <w:r w:rsidR="00896FD0" w:rsidRPr="00896FD0">
        <w:rPr>
          <w:rFonts w:ascii="Verdana" w:hAnsi="Verdana"/>
          <w:bCs/>
          <w:sz w:val="22"/>
        </w:rPr>
        <w:t>s.</w:t>
      </w:r>
      <w:r w:rsidR="00896FD0">
        <w:rPr>
          <w:rFonts w:ascii="Verdana" w:hAnsi="Verdana"/>
          <w:b/>
          <w:sz w:val="22"/>
        </w:rPr>
        <w:br/>
      </w:r>
    </w:p>
    <w:p w14:paraId="1D267064" w14:textId="5F2DE8B9" w:rsidR="001C6067" w:rsidRPr="001C6067" w:rsidRDefault="001C6067" w:rsidP="001C606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>How many ovarian cancer patients (any stage) have been treated in the last 3 months with: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Pr="001C6067">
        <w:rPr>
          <w:rFonts w:ascii="Verdana" w:hAnsi="Verdana"/>
          <w:bCs/>
          <w:sz w:val="22"/>
        </w:rPr>
        <w:t>In the period December 2024 to February 2025;</w:t>
      </w:r>
      <w:r w:rsidRPr="001C6067">
        <w:rPr>
          <w:rFonts w:ascii="Verdana" w:hAnsi="Verdana"/>
          <w:bCs/>
          <w:sz w:val="22"/>
        </w:rPr>
        <w:br/>
      </w:r>
    </w:p>
    <w:p w14:paraId="66B28065" w14:textId="6D7E77E3" w:rsidR="001C6067" w:rsidRPr="001C6067" w:rsidRDefault="001C6067" w:rsidP="001C606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Paclitaxel in combination with a platinum-based compound </w:t>
      </w:r>
      <w:r w:rsidRPr="001C6067">
        <w:rPr>
          <w:rFonts w:ascii="Verdana" w:hAnsi="Verdana"/>
          <w:bCs/>
          <w:sz w:val="22"/>
        </w:rPr>
        <w:t>– 9 patients</w:t>
      </w:r>
      <w:r w:rsidRPr="001C6067">
        <w:rPr>
          <w:rFonts w:ascii="Verdana" w:hAnsi="Verdana"/>
          <w:b/>
          <w:sz w:val="22"/>
        </w:rPr>
        <w:t xml:space="preserve">        </w:t>
      </w:r>
    </w:p>
    <w:p w14:paraId="68F49B40" w14:textId="2D927C84" w:rsidR="001C6067" w:rsidRPr="001C6067" w:rsidRDefault="001C6067" w:rsidP="001C606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Platinum-based therapy alone (cisplatin or carboplatin) </w:t>
      </w:r>
      <w:r w:rsidRPr="001C6067">
        <w:rPr>
          <w:rFonts w:ascii="Verdana" w:hAnsi="Verdana"/>
          <w:bCs/>
          <w:sz w:val="22"/>
        </w:rPr>
        <w:t>– 20 patients</w:t>
      </w:r>
      <w:r w:rsidRPr="001C6067">
        <w:rPr>
          <w:rFonts w:ascii="Verdana" w:hAnsi="Verdana"/>
          <w:b/>
          <w:sz w:val="22"/>
        </w:rPr>
        <w:t xml:space="preserve">         </w:t>
      </w:r>
    </w:p>
    <w:p w14:paraId="0AF4CA0F" w14:textId="22E23A6F" w:rsidR="001C6067" w:rsidRPr="001C6067" w:rsidRDefault="001C6067" w:rsidP="001C606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>Bevacizumab in combination with paclitaxel and carboplatin</w:t>
      </w:r>
      <w:r>
        <w:rPr>
          <w:rFonts w:ascii="Verdana" w:hAnsi="Verdana"/>
          <w:b/>
          <w:sz w:val="22"/>
        </w:rPr>
        <w:t xml:space="preserve"> </w:t>
      </w:r>
      <w:r w:rsidRPr="001C6067">
        <w:rPr>
          <w:rFonts w:ascii="Verdana" w:hAnsi="Verdana"/>
          <w:bCs/>
          <w:sz w:val="22"/>
        </w:rPr>
        <w:t>– 6 patients</w:t>
      </w:r>
      <w:r w:rsidRPr="001C6067">
        <w:rPr>
          <w:rFonts w:ascii="Verdana" w:hAnsi="Verdana"/>
          <w:b/>
          <w:sz w:val="22"/>
        </w:rPr>
        <w:t xml:space="preserve">     </w:t>
      </w:r>
    </w:p>
    <w:p w14:paraId="6BF852D3" w14:textId="455A59F4" w:rsidR="001C6067" w:rsidRPr="001C6067" w:rsidRDefault="001C6067" w:rsidP="001C606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Olaparib </w:t>
      </w:r>
      <w:r w:rsidRPr="001C6067">
        <w:rPr>
          <w:rFonts w:ascii="Verdana" w:hAnsi="Verdana"/>
          <w:bCs/>
          <w:sz w:val="22"/>
        </w:rPr>
        <w:t>– 21 patients</w:t>
      </w:r>
    </w:p>
    <w:p w14:paraId="308E5D64" w14:textId="70BCE61D" w:rsidR="001C6067" w:rsidRPr="001C6067" w:rsidRDefault="001C6067" w:rsidP="001C606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Olaparib + Bevacizumab </w:t>
      </w:r>
      <w:r w:rsidRPr="001C6067">
        <w:rPr>
          <w:rFonts w:ascii="Verdana" w:hAnsi="Verdana"/>
          <w:bCs/>
          <w:sz w:val="22"/>
        </w:rPr>
        <w:t>- &lt;5* patients</w:t>
      </w:r>
    </w:p>
    <w:p w14:paraId="60A19F2A" w14:textId="75AE22D0" w:rsidR="001C6067" w:rsidRPr="001C6067" w:rsidRDefault="001C6067" w:rsidP="001C6067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1C6067">
        <w:rPr>
          <w:rFonts w:ascii="Verdana" w:hAnsi="Verdana"/>
          <w:b/>
          <w:sz w:val="22"/>
        </w:rPr>
        <w:t xml:space="preserve">Niraparib </w:t>
      </w:r>
      <w:r w:rsidRPr="001C6067">
        <w:rPr>
          <w:rFonts w:ascii="Verdana" w:hAnsi="Verdana"/>
          <w:bCs/>
          <w:sz w:val="22"/>
        </w:rPr>
        <w:t>– 15 patients</w:t>
      </w:r>
    </w:p>
    <w:p w14:paraId="3364064B" w14:textId="6A0461E6" w:rsidR="001C6067" w:rsidRPr="001C6067" w:rsidRDefault="001C6067" w:rsidP="001C6067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1C6067">
        <w:rPr>
          <w:rFonts w:ascii="Verdana" w:hAnsi="Verdana"/>
          <w:b/>
          <w:sz w:val="22"/>
        </w:rPr>
        <w:t xml:space="preserve">Rucaparib </w:t>
      </w:r>
      <w:r w:rsidRPr="001C6067">
        <w:rPr>
          <w:rFonts w:ascii="Verdana" w:hAnsi="Verdana"/>
          <w:bCs/>
          <w:sz w:val="22"/>
        </w:rPr>
        <w:t>- &lt;5* patients</w:t>
      </w:r>
    </w:p>
    <w:p w14:paraId="1F5244A3" w14:textId="3EAA922F" w:rsidR="001C6067" w:rsidRPr="001C6067" w:rsidRDefault="001C6067" w:rsidP="00896FD0">
      <w:pPr>
        <w:ind w:left="720"/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 </w:t>
      </w:r>
      <w:r w:rsidR="00896FD0">
        <w:rPr>
          <w:rFonts w:ascii="Verdana" w:hAnsi="Verdana"/>
          <w:b/>
          <w:sz w:val="22"/>
        </w:rPr>
        <w:t>*</w:t>
      </w:r>
      <w:r w:rsidR="00896FD0" w:rsidRPr="00896FD0">
        <w:rPr>
          <w:rFonts w:ascii="Verdana" w:hAnsi="Verdana"/>
          <w:sz w:val="22"/>
          <w:szCs w:val="22"/>
        </w:rPr>
        <w:t xml:space="preserve"> </w:t>
      </w:r>
      <w:r w:rsidR="00896FD0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896FD0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896FD0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896FD0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896FD0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896FD0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896FD0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896FD0" w:rsidRPr="00FC3B42">
        <w:rPr>
          <w:rFonts w:ascii="Verdana" w:hAnsi="Verdana"/>
          <w:sz w:val="22"/>
          <w:szCs w:val="22"/>
        </w:rPr>
        <w:br/>
      </w:r>
    </w:p>
    <w:p w14:paraId="32410CA3" w14:textId="03DB34BD" w:rsidR="001C6067" w:rsidRPr="001C6067" w:rsidRDefault="001C6067" w:rsidP="001C6067">
      <w:pPr>
        <w:pStyle w:val="ListParagraph"/>
        <w:numPr>
          <w:ilvl w:val="0"/>
          <w:numId w:val="19"/>
        </w:numPr>
        <w:rPr>
          <w:rFonts w:ascii="Verdana" w:hAnsi="Verdana"/>
          <w:bCs/>
          <w:sz w:val="22"/>
          <w:u w:val="single"/>
        </w:rPr>
      </w:pPr>
      <w:r w:rsidRPr="001C6067">
        <w:rPr>
          <w:rFonts w:ascii="Verdana" w:hAnsi="Verdana"/>
          <w:b/>
          <w:sz w:val="22"/>
        </w:rPr>
        <w:t xml:space="preserve">Does your </w:t>
      </w:r>
      <w:r>
        <w:rPr>
          <w:rFonts w:ascii="Verdana" w:hAnsi="Verdana"/>
          <w:b/>
          <w:sz w:val="22"/>
        </w:rPr>
        <w:t>Health Board</w:t>
      </w:r>
      <w:r w:rsidRPr="001C6067">
        <w:rPr>
          <w:rFonts w:ascii="Verdana" w:hAnsi="Verdana"/>
          <w:b/>
          <w:sz w:val="22"/>
        </w:rPr>
        <w:t xml:space="preserve"> participate in any clinical trials for the treatment of ovarian cancer?  If so, please provide the name of each trial along with the number of patients taking part</w:t>
      </w:r>
      <w:r>
        <w:rPr>
          <w:rFonts w:ascii="Verdana" w:hAnsi="Verdana"/>
          <w:b/>
          <w:sz w:val="22"/>
        </w:rPr>
        <w:br/>
      </w:r>
      <w:r w:rsidRPr="001C6067">
        <w:rPr>
          <w:rFonts w:ascii="Verdana" w:hAnsi="Verdana"/>
          <w:bCs/>
          <w:sz w:val="22"/>
        </w:rPr>
        <w:t>Yes</w:t>
      </w:r>
      <w:r w:rsidRPr="001C6067">
        <w:rPr>
          <w:rFonts w:ascii="Verdana" w:hAnsi="Verdana"/>
          <w:bCs/>
          <w:sz w:val="22"/>
        </w:rPr>
        <w:br/>
      </w:r>
      <w:r>
        <w:rPr>
          <w:rFonts w:ascii="Verdana" w:hAnsi="Verdana"/>
          <w:bCs/>
          <w:sz w:val="22"/>
        </w:rPr>
        <w:lastRenderedPageBreak/>
        <w:br/>
      </w:r>
      <w:r w:rsidRPr="001C6067">
        <w:rPr>
          <w:rFonts w:ascii="Verdana" w:hAnsi="Verdana"/>
          <w:bCs/>
          <w:sz w:val="22"/>
          <w:u w:val="single"/>
        </w:rPr>
        <w:t xml:space="preserve">Gloriosa </w:t>
      </w:r>
    </w:p>
    <w:p w14:paraId="0E318DCF" w14:textId="22BBEFF3" w:rsidR="001C6067" w:rsidRPr="001C6067" w:rsidRDefault="001C6067" w:rsidP="001C6067">
      <w:pPr>
        <w:pStyle w:val="ListParagraph"/>
        <w:ind w:left="865"/>
        <w:rPr>
          <w:rFonts w:ascii="Verdana" w:hAnsi="Verdana"/>
          <w:bCs/>
          <w:sz w:val="22"/>
          <w:u w:val="single"/>
        </w:rPr>
      </w:pPr>
      <w:r w:rsidRPr="001C6067">
        <w:rPr>
          <w:rFonts w:ascii="Verdana" w:hAnsi="Verdana"/>
          <w:bCs/>
          <w:sz w:val="22"/>
          <w:u w:val="single"/>
        </w:rPr>
        <w:t xml:space="preserve">Randomized, </w:t>
      </w:r>
      <w:proofErr w:type="spellStart"/>
      <w:r w:rsidRPr="001C6067">
        <w:rPr>
          <w:rFonts w:ascii="Verdana" w:hAnsi="Verdana"/>
          <w:bCs/>
          <w:sz w:val="22"/>
          <w:u w:val="single"/>
        </w:rPr>
        <w:t>multicenter</w:t>
      </w:r>
      <w:proofErr w:type="spellEnd"/>
      <w:r w:rsidRPr="001C6067">
        <w:rPr>
          <w:rFonts w:ascii="Verdana" w:hAnsi="Verdana"/>
          <w:bCs/>
          <w:sz w:val="22"/>
          <w:u w:val="single"/>
        </w:rPr>
        <w:t xml:space="preserve">, open-label, Phase 3 study of </w:t>
      </w:r>
      <w:proofErr w:type="spellStart"/>
      <w:r w:rsidRPr="001C6067">
        <w:rPr>
          <w:rFonts w:ascii="Verdana" w:hAnsi="Verdana"/>
          <w:bCs/>
          <w:sz w:val="22"/>
          <w:u w:val="single"/>
        </w:rPr>
        <w:t>mirvetuximab</w:t>
      </w:r>
      <w:proofErr w:type="spellEnd"/>
      <w:r w:rsidRPr="001C6067">
        <w:rPr>
          <w:rFonts w:ascii="Verdana" w:hAnsi="Verdana"/>
          <w:bCs/>
          <w:sz w:val="22"/>
          <w:u w:val="single"/>
        </w:rPr>
        <w:t xml:space="preserve"> </w:t>
      </w:r>
      <w:proofErr w:type="spellStart"/>
      <w:r w:rsidRPr="001C6067">
        <w:rPr>
          <w:rFonts w:ascii="Verdana" w:hAnsi="Verdana"/>
          <w:bCs/>
          <w:sz w:val="22"/>
          <w:u w:val="single"/>
        </w:rPr>
        <w:t>soravtansine</w:t>
      </w:r>
      <w:proofErr w:type="spellEnd"/>
      <w:r w:rsidRPr="001C6067">
        <w:rPr>
          <w:rFonts w:ascii="Verdana" w:hAnsi="Verdana"/>
          <w:bCs/>
          <w:sz w:val="22"/>
          <w:u w:val="single"/>
        </w:rPr>
        <w:t xml:space="preserve"> in combination with bevacizumab versus bevacizumab alone as maintenance therapy for patients with FRα-high recurrent platinum-sensitive epithelial ovarian, fallopian tube, or primary peritoneal cancers who have not progressed after second-line </w:t>
      </w:r>
      <w:proofErr w:type="gramStart"/>
      <w:r w:rsidRPr="001C6067">
        <w:rPr>
          <w:rFonts w:ascii="Verdana" w:hAnsi="Verdana"/>
          <w:bCs/>
          <w:sz w:val="22"/>
          <w:u w:val="single"/>
        </w:rPr>
        <w:t>platinum based</w:t>
      </w:r>
      <w:proofErr w:type="gramEnd"/>
      <w:r w:rsidRPr="001C6067">
        <w:rPr>
          <w:rFonts w:ascii="Verdana" w:hAnsi="Verdana"/>
          <w:bCs/>
          <w:sz w:val="22"/>
          <w:u w:val="single"/>
        </w:rPr>
        <w:t xml:space="preserve"> chemotherapy plus bevacizumab (GLORIOSA)</w:t>
      </w:r>
      <w:r>
        <w:rPr>
          <w:rFonts w:ascii="Verdana" w:hAnsi="Verdana"/>
          <w:bCs/>
          <w:sz w:val="22"/>
          <w:u w:val="single"/>
        </w:rPr>
        <w:br/>
      </w:r>
      <w:r>
        <w:rPr>
          <w:rFonts w:ascii="Verdana" w:hAnsi="Verdana"/>
          <w:bCs/>
          <w:sz w:val="22"/>
          <w:u w:val="single"/>
        </w:rPr>
        <w:br/>
      </w:r>
      <w:r w:rsidRPr="001C6067">
        <w:rPr>
          <w:rFonts w:ascii="Verdana" w:hAnsi="Verdana"/>
          <w:bCs/>
          <w:sz w:val="22"/>
        </w:rPr>
        <w:t>No patients recruited currently.</w:t>
      </w:r>
      <w:r>
        <w:rPr>
          <w:rFonts w:ascii="Verdana" w:hAnsi="Verdana"/>
          <w:bCs/>
          <w:sz w:val="22"/>
          <w:u w:val="single"/>
        </w:rPr>
        <w:br/>
      </w:r>
    </w:p>
    <w:p w14:paraId="1E19E3D1" w14:textId="30B4DF3D" w:rsidR="001C6067" w:rsidRPr="001C6067" w:rsidRDefault="001C6067" w:rsidP="001C6067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>If data for HRD (homologous recombination deficiency) testing is available, please provide how many HRD positive patients were treated in the last 3 months with:</w:t>
      </w:r>
    </w:p>
    <w:p w14:paraId="62458371" w14:textId="77777777" w:rsidR="001C6067" w:rsidRPr="001C6067" w:rsidRDefault="001C6067" w:rsidP="001C6067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Olaparib           </w:t>
      </w:r>
    </w:p>
    <w:p w14:paraId="1FD080EF" w14:textId="77777777" w:rsidR="001C6067" w:rsidRPr="001C6067" w:rsidRDefault="001C6067" w:rsidP="001C6067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Olaparib + Bevacizumab         </w:t>
      </w:r>
    </w:p>
    <w:p w14:paraId="1CEF2678" w14:textId="77777777" w:rsidR="001C6067" w:rsidRPr="001C6067" w:rsidRDefault="001C6067" w:rsidP="001C6067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1C6067">
        <w:rPr>
          <w:rFonts w:ascii="Verdana" w:hAnsi="Verdana"/>
          <w:b/>
          <w:sz w:val="22"/>
        </w:rPr>
        <w:t xml:space="preserve">Niraparib           </w:t>
      </w:r>
    </w:p>
    <w:p w14:paraId="23DF621B" w14:textId="1DA394AD" w:rsidR="00873328" w:rsidRPr="001C6067" w:rsidRDefault="001C6067" w:rsidP="001C6067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1C6067">
        <w:rPr>
          <w:rFonts w:ascii="Verdana" w:hAnsi="Verdana"/>
          <w:b/>
          <w:sz w:val="22"/>
        </w:rPr>
        <w:t>Other treatments</w:t>
      </w:r>
    </w:p>
    <w:p w14:paraId="2178A95B" w14:textId="1B69E4FC" w:rsidR="00873328" w:rsidRPr="00896FD0" w:rsidRDefault="00896FD0" w:rsidP="00421E7F">
      <w:pPr>
        <w:rPr>
          <w:rFonts w:ascii="Verdana" w:hAnsi="Verdana"/>
          <w:noProof/>
          <w:sz w:val="22"/>
          <w:szCs w:val="22"/>
        </w:rPr>
      </w:pPr>
      <w:r w:rsidRPr="00896FD0">
        <w:rPr>
          <w:rFonts w:ascii="Verdana" w:hAnsi="Verdana"/>
          <w:noProof/>
          <w:sz w:val="22"/>
          <w:szCs w:val="22"/>
        </w:rPr>
        <w:t>I can confirm that SBU</w:t>
      </w:r>
      <w:r>
        <w:rPr>
          <w:rFonts w:ascii="Verdana" w:hAnsi="Verdana"/>
          <w:noProof/>
          <w:sz w:val="22"/>
          <w:szCs w:val="22"/>
        </w:rPr>
        <w:t>H</w:t>
      </w:r>
      <w:r w:rsidRPr="00896FD0">
        <w:rPr>
          <w:rFonts w:ascii="Verdana" w:hAnsi="Verdana"/>
          <w:noProof/>
          <w:sz w:val="22"/>
          <w:szCs w:val="22"/>
        </w:rPr>
        <w:t>B do not participate in HRD testing</w:t>
      </w:r>
      <w:r>
        <w:rPr>
          <w:rFonts w:ascii="Verdana" w:hAnsi="Verdana"/>
          <w:noProof/>
          <w:sz w:val="22"/>
          <w:szCs w:val="22"/>
        </w:rPr>
        <w:t>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836B0D"/>
    <w:multiLevelType w:val="hybridMultilevel"/>
    <w:tmpl w:val="336E820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7A02B4A"/>
    <w:multiLevelType w:val="hybridMultilevel"/>
    <w:tmpl w:val="BEB6CFDE"/>
    <w:lvl w:ilvl="0" w:tplc="249CB604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7444A9F"/>
    <w:multiLevelType w:val="hybridMultilevel"/>
    <w:tmpl w:val="FAB48EE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18"/>
  </w:num>
  <w:num w:numId="5">
    <w:abstractNumId w:val="6"/>
  </w:num>
  <w:num w:numId="6">
    <w:abstractNumId w:val="5"/>
  </w:num>
  <w:num w:numId="7">
    <w:abstractNumId w:val="13"/>
  </w:num>
  <w:num w:numId="8">
    <w:abstractNumId w:val="17"/>
  </w:num>
  <w:num w:numId="9">
    <w:abstractNumId w:val="20"/>
  </w:num>
  <w:num w:numId="10">
    <w:abstractNumId w:val="2"/>
  </w:num>
  <w:num w:numId="11">
    <w:abstractNumId w:val="11"/>
  </w:num>
  <w:num w:numId="12">
    <w:abstractNumId w:val="15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3"/>
  </w:num>
  <w:num w:numId="19">
    <w:abstractNumId w:val="4"/>
  </w:num>
  <w:num w:numId="20">
    <w:abstractNumId w:val="12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C6067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96FD0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2</Pages>
  <Words>407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2025-04-23T12:11:00Z</dcterms:modified>
</cp:coreProperties>
</file>