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0144401" w:rsidR="00DC7FA9"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44D7A">
                              <w:rPr>
                                <w:rFonts w:ascii="Verdana" w:hAnsi="Verdana"/>
                                <w:b/>
                                <w:sz w:val="22"/>
                                <w:szCs w:val="22"/>
                              </w:rPr>
                              <w:t>25-I-026</w:t>
                            </w:r>
                          </w:p>
                          <w:p w14:paraId="28426D41" w14:textId="77777777" w:rsidR="00844D7A" w:rsidRPr="00A10460" w:rsidRDefault="00844D7A" w:rsidP="00DC7FA9">
                            <w:pPr>
                              <w:pStyle w:val="NoSpacing"/>
                              <w:ind w:left="0"/>
                              <w:rPr>
                                <w:rFonts w:ascii="Verdana" w:hAnsi="Verdana"/>
                                <w:b/>
                                <w:sz w:val="22"/>
                                <w:szCs w:val="22"/>
                              </w:rPr>
                            </w:pP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0144401" w:rsidR="00DC7FA9"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844D7A">
                        <w:rPr>
                          <w:rFonts w:ascii="Verdana" w:hAnsi="Verdana"/>
                          <w:b/>
                          <w:sz w:val="22"/>
                          <w:szCs w:val="22"/>
                        </w:rPr>
                        <w:t>25-I-026</w:t>
                      </w:r>
                    </w:p>
                    <w:p w14:paraId="28426D41" w14:textId="77777777" w:rsidR="00844D7A" w:rsidRPr="00A10460" w:rsidRDefault="00844D7A" w:rsidP="00DC7FA9">
                      <w:pPr>
                        <w:pStyle w:val="NoSpacing"/>
                        <w:ind w:left="0"/>
                        <w:rPr>
                          <w:rFonts w:ascii="Verdana" w:hAnsi="Verdana"/>
                          <w:b/>
                          <w:sz w:val="22"/>
                          <w:szCs w:val="22"/>
                        </w:rPr>
                      </w:pP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Default="00DC7FA9" w:rsidP="00D62A67">
      <w:pPr>
        <w:spacing w:before="280"/>
        <w:rPr>
          <w:rFonts w:ascii="Verdana" w:hAnsi="Verdana"/>
          <w:sz w:val="22"/>
        </w:rPr>
      </w:pPr>
    </w:p>
    <w:p w14:paraId="0519F490" w14:textId="48C73015" w:rsidR="009B7B7E" w:rsidRPr="00A10460" w:rsidRDefault="009B7B7E" w:rsidP="00D62A67">
      <w:pPr>
        <w:spacing w:before="280"/>
        <w:rPr>
          <w:rFonts w:ascii="Verdana" w:hAnsi="Verdana"/>
          <w:sz w:val="22"/>
        </w:rPr>
      </w:pPr>
      <w:r>
        <w:rPr>
          <w:rFonts w:ascii="Verdana" w:hAnsi="Verdana"/>
          <w:sz w:val="22"/>
        </w:rPr>
        <w:t>Please note that this information is for the period May, June and July 2025.</w:t>
      </w:r>
    </w:p>
    <w:p w14:paraId="635CAE49" w14:textId="307695FB" w:rsidR="00DC0D5A" w:rsidRDefault="00A10460" w:rsidP="00DC0D5A">
      <w:pPr>
        <w:spacing w:before="280"/>
        <w:rPr>
          <w:rFonts w:ascii="Verdana" w:hAnsi="Verdana"/>
          <w:b/>
          <w:sz w:val="22"/>
        </w:rPr>
      </w:pPr>
      <w:r w:rsidRPr="00A10460">
        <w:rPr>
          <w:rFonts w:ascii="Verdana" w:hAnsi="Verdana"/>
          <w:b/>
          <w:sz w:val="22"/>
        </w:rPr>
        <w:t>You asked:</w:t>
      </w:r>
    </w:p>
    <w:p w14:paraId="2C3B5565" w14:textId="288F68E3" w:rsidR="00844D7A" w:rsidRPr="009B7B7E" w:rsidRDefault="00844D7A" w:rsidP="009B7B7E">
      <w:pPr>
        <w:tabs>
          <w:tab w:val="left" w:pos="8080"/>
        </w:tabs>
        <w:rPr>
          <w:rFonts w:ascii="Verdana" w:hAnsi="Verdana"/>
          <w:noProof/>
          <w:sz w:val="22"/>
          <w:szCs w:val="22"/>
        </w:rPr>
      </w:pPr>
      <w:r w:rsidRPr="00844D7A">
        <w:rPr>
          <w:rFonts w:ascii="Verdana" w:hAnsi="Verdana"/>
          <w:b/>
          <w:bCs/>
          <w:noProof/>
          <w:sz w:val="22"/>
          <w:szCs w:val="22"/>
        </w:rPr>
        <w:t xml:space="preserve">Q1. How many patients have a current diagnosis of Giant Cell Arteritis (GCA) (ICD10 codes M31.5 or M31.6) at your </w:t>
      </w:r>
      <w:r>
        <w:rPr>
          <w:rFonts w:ascii="Verdana" w:hAnsi="Verdana"/>
          <w:b/>
          <w:bCs/>
          <w:noProof/>
          <w:sz w:val="22"/>
          <w:szCs w:val="22"/>
        </w:rPr>
        <w:t>Health Board</w:t>
      </w:r>
      <w:r w:rsidRPr="00844D7A">
        <w:rPr>
          <w:rFonts w:ascii="Verdana" w:hAnsi="Verdana"/>
          <w:b/>
          <w:bCs/>
          <w:noProof/>
          <w:sz w:val="22"/>
          <w:szCs w:val="22"/>
        </w:rPr>
        <w:t xml:space="preserve">? </w:t>
      </w:r>
      <w:r w:rsidR="003D17B0">
        <w:rPr>
          <w:rFonts w:ascii="Verdana" w:hAnsi="Verdana"/>
          <w:b/>
          <w:bCs/>
          <w:noProof/>
          <w:sz w:val="22"/>
          <w:szCs w:val="22"/>
        </w:rPr>
        <w:t xml:space="preserve"> </w:t>
      </w:r>
      <w:r w:rsidR="003D17B0">
        <w:rPr>
          <w:rFonts w:ascii="Verdana" w:hAnsi="Verdana"/>
          <w:b/>
          <w:bCs/>
          <w:noProof/>
          <w:sz w:val="22"/>
          <w:szCs w:val="22"/>
        </w:rPr>
        <w:tab/>
      </w:r>
      <w:r w:rsidR="000843F2">
        <w:rPr>
          <w:rFonts w:ascii="Verdana" w:hAnsi="Verdana"/>
          <w:b/>
          <w:bCs/>
          <w:noProof/>
          <w:sz w:val="22"/>
          <w:szCs w:val="22"/>
        </w:rPr>
        <w:br/>
      </w:r>
      <w:r>
        <w:rPr>
          <w:rFonts w:ascii="Verdana" w:hAnsi="Verdana"/>
          <w:noProof/>
          <w:sz w:val="22"/>
          <w:szCs w:val="22"/>
        </w:rPr>
        <w:t>785</w:t>
      </w:r>
    </w:p>
    <w:p w14:paraId="45437994" w14:textId="20B79825" w:rsidR="00844D7A" w:rsidRPr="00844D7A" w:rsidRDefault="00844D7A" w:rsidP="009B7B7E">
      <w:pPr>
        <w:tabs>
          <w:tab w:val="left" w:pos="8080"/>
        </w:tabs>
        <w:rPr>
          <w:rFonts w:ascii="Verdana" w:hAnsi="Verdana"/>
          <w:noProof/>
          <w:sz w:val="22"/>
          <w:szCs w:val="22"/>
        </w:rPr>
      </w:pPr>
      <w:r w:rsidRPr="00844D7A">
        <w:rPr>
          <w:rFonts w:ascii="Verdana" w:hAnsi="Verdana"/>
          <w:b/>
          <w:bCs/>
          <w:noProof/>
          <w:sz w:val="22"/>
          <w:szCs w:val="22"/>
        </w:rPr>
        <w:t>Q2. How many patients have been newly diagnosed with Giant Cell Arteritis (GCA) (ICD10 codes M31.5 or M31.6) in the past 3 months</w:t>
      </w:r>
      <w:r w:rsidR="009B7B7E">
        <w:rPr>
          <w:rFonts w:ascii="Verdana" w:hAnsi="Verdana"/>
          <w:b/>
          <w:bCs/>
          <w:noProof/>
          <w:sz w:val="22"/>
          <w:szCs w:val="22"/>
        </w:rPr>
        <w:t>?</w:t>
      </w:r>
      <w:r w:rsidR="003D17B0">
        <w:rPr>
          <w:rFonts w:ascii="Verdana" w:hAnsi="Verdana"/>
          <w:b/>
          <w:bCs/>
          <w:noProof/>
          <w:sz w:val="22"/>
          <w:szCs w:val="22"/>
        </w:rPr>
        <w:tab/>
      </w:r>
      <w:r w:rsidR="000843F2">
        <w:rPr>
          <w:rFonts w:ascii="Verdana" w:hAnsi="Verdana"/>
          <w:b/>
          <w:bCs/>
          <w:noProof/>
          <w:sz w:val="22"/>
          <w:szCs w:val="22"/>
        </w:rPr>
        <w:br/>
      </w:r>
      <w:r>
        <w:rPr>
          <w:rFonts w:ascii="Verdana" w:hAnsi="Verdana"/>
          <w:noProof/>
          <w:sz w:val="22"/>
          <w:szCs w:val="22"/>
        </w:rPr>
        <w:t>1</w:t>
      </w:r>
      <w:r w:rsidR="009B7B7E">
        <w:rPr>
          <w:rFonts w:ascii="Verdana" w:hAnsi="Verdana"/>
          <w:noProof/>
          <w:sz w:val="22"/>
          <w:szCs w:val="22"/>
        </w:rPr>
        <w:t>2</w:t>
      </w:r>
    </w:p>
    <w:p w14:paraId="45DA673E" w14:textId="6906CDE5" w:rsidR="00844D7A" w:rsidRPr="00844D7A" w:rsidRDefault="00844D7A" w:rsidP="009B7B7E">
      <w:pPr>
        <w:tabs>
          <w:tab w:val="left" w:pos="8080"/>
        </w:tabs>
        <w:rPr>
          <w:rFonts w:ascii="Verdana" w:hAnsi="Verdana"/>
          <w:noProof/>
          <w:sz w:val="22"/>
          <w:szCs w:val="22"/>
        </w:rPr>
      </w:pPr>
      <w:r w:rsidRPr="00844D7A">
        <w:rPr>
          <w:rFonts w:ascii="Verdana" w:hAnsi="Verdana"/>
          <w:b/>
          <w:bCs/>
          <w:noProof/>
          <w:sz w:val="22"/>
          <w:szCs w:val="22"/>
        </w:rPr>
        <w:t xml:space="preserve">Q3. How many patients were treated by the Rheumatology department for Giant Cell Arteritis (GCA) (ICD10 codes M31.5 or M31.6)? </w:t>
      </w:r>
      <w:r w:rsidR="003D17B0">
        <w:rPr>
          <w:rFonts w:ascii="Verdana" w:hAnsi="Verdana"/>
          <w:b/>
          <w:bCs/>
          <w:noProof/>
          <w:sz w:val="22"/>
          <w:szCs w:val="22"/>
        </w:rPr>
        <w:t xml:space="preserve"> </w:t>
      </w:r>
      <w:r w:rsidR="003D17B0">
        <w:rPr>
          <w:rFonts w:ascii="Verdana" w:hAnsi="Verdana"/>
          <w:b/>
          <w:bCs/>
          <w:noProof/>
          <w:sz w:val="22"/>
          <w:szCs w:val="22"/>
        </w:rPr>
        <w:tab/>
      </w:r>
      <w:r w:rsidR="000843F2">
        <w:rPr>
          <w:rFonts w:ascii="Verdana" w:hAnsi="Verdana"/>
          <w:b/>
          <w:bCs/>
          <w:noProof/>
          <w:sz w:val="22"/>
          <w:szCs w:val="22"/>
        </w:rPr>
        <w:br/>
      </w:r>
      <w:r>
        <w:rPr>
          <w:rFonts w:ascii="Verdana" w:hAnsi="Verdana"/>
          <w:noProof/>
          <w:sz w:val="22"/>
          <w:szCs w:val="22"/>
        </w:rPr>
        <w:t>1</w:t>
      </w:r>
      <w:r w:rsidR="009B7B7E">
        <w:rPr>
          <w:rFonts w:ascii="Verdana" w:hAnsi="Verdana"/>
          <w:noProof/>
          <w:sz w:val="22"/>
          <w:szCs w:val="22"/>
        </w:rPr>
        <w:t>11</w:t>
      </w:r>
    </w:p>
    <w:p w14:paraId="6E38807A" w14:textId="6FFD3B9E" w:rsidR="00844D7A" w:rsidRPr="00844D7A" w:rsidRDefault="00844D7A" w:rsidP="00844D7A">
      <w:pPr>
        <w:rPr>
          <w:rFonts w:ascii="Verdana" w:hAnsi="Verdana"/>
          <w:b/>
          <w:bCs/>
          <w:noProof/>
          <w:sz w:val="22"/>
          <w:szCs w:val="22"/>
        </w:rPr>
      </w:pPr>
      <w:r w:rsidRPr="00844D7A">
        <w:rPr>
          <w:rFonts w:ascii="Verdana" w:hAnsi="Verdana"/>
          <w:b/>
          <w:bCs/>
          <w:noProof/>
          <w:sz w:val="22"/>
          <w:szCs w:val="22"/>
        </w:rPr>
        <w:t>Q4. How many patients were treated by the rheumatology department in the past 3 months with the following: </w:t>
      </w:r>
    </w:p>
    <w:p w14:paraId="57199BBE" w14:textId="7DAB6A85" w:rsidR="00844D7A" w:rsidRPr="003D17B0" w:rsidRDefault="00844D7A" w:rsidP="003D17B0">
      <w:pPr>
        <w:numPr>
          <w:ilvl w:val="0"/>
          <w:numId w:val="19"/>
        </w:numPr>
        <w:tabs>
          <w:tab w:val="left" w:pos="8080"/>
        </w:tabs>
        <w:rPr>
          <w:rFonts w:ascii="Verdana" w:hAnsi="Verdana"/>
          <w:noProof/>
          <w:sz w:val="22"/>
          <w:szCs w:val="22"/>
        </w:rPr>
      </w:pPr>
      <w:r w:rsidRPr="00844D7A">
        <w:rPr>
          <w:rFonts w:ascii="Verdana" w:hAnsi="Verdana"/>
          <w:b/>
          <w:bCs/>
          <w:noProof/>
          <w:sz w:val="22"/>
          <w:szCs w:val="22"/>
        </w:rPr>
        <w:t>Tocilizumab – for any disease </w:t>
      </w:r>
      <w:r w:rsidRPr="003D17B0">
        <w:rPr>
          <w:rFonts w:ascii="Verdana" w:hAnsi="Verdana"/>
          <w:b/>
          <w:bCs/>
          <w:noProof/>
          <w:sz w:val="22"/>
          <w:szCs w:val="22"/>
        </w:rPr>
        <w:tab/>
      </w:r>
      <w:r w:rsidR="000843F2">
        <w:rPr>
          <w:rFonts w:ascii="Verdana" w:hAnsi="Verdana"/>
          <w:b/>
          <w:bCs/>
          <w:noProof/>
          <w:sz w:val="22"/>
          <w:szCs w:val="22"/>
        </w:rPr>
        <w:br/>
      </w:r>
      <w:r w:rsidRPr="003D17B0">
        <w:rPr>
          <w:rFonts w:ascii="Verdana" w:hAnsi="Verdana"/>
          <w:noProof/>
          <w:sz w:val="22"/>
          <w:szCs w:val="22"/>
        </w:rPr>
        <w:t>178</w:t>
      </w:r>
    </w:p>
    <w:p w14:paraId="1F628F16" w14:textId="34E3F3D7" w:rsidR="00844D7A" w:rsidRPr="009B7B7E" w:rsidRDefault="00844D7A" w:rsidP="009B7B7E">
      <w:pPr>
        <w:numPr>
          <w:ilvl w:val="0"/>
          <w:numId w:val="19"/>
        </w:numPr>
        <w:tabs>
          <w:tab w:val="left" w:pos="7088"/>
        </w:tabs>
        <w:rPr>
          <w:rFonts w:ascii="Verdana" w:hAnsi="Verdana"/>
          <w:b/>
          <w:bCs/>
          <w:noProof/>
          <w:sz w:val="22"/>
          <w:szCs w:val="22"/>
        </w:rPr>
      </w:pPr>
      <w:r w:rsidRPr="00844D7A">
        <w:rPr>
          <w:rFonts w:ascii="Verdana" w:hAnsi="Verdana"/>
          <w:b/>
          <w:bCs/>
          <w:noProof/>
          <w:sz w:val="22"/>
          <w:szCs w:val="22"/>
        </w:rPr>
        <w:t>Tocilizumab for rheumatoid arthritis (RA) only </w:t>
      </w:r>
      <w:r w:rsidR="009B7B7E">
        <w:rPr>
          <w:rFonts w:ascii="Verdana" w:hAnsi="Verdana"/>
          <w:b/>
          <w:bCs/>
          <w:noProof/>
          <w:sz w:val="22"/>
          <w:szCs w:val="22"/>
        </w:rPr>
        <w:br/>
      </w:r>
      <w:r w:rsidRPr="009B7B7E">
        <w:rPr>
          <w:rFonts w:ascii="Verdana" w:hAnsi="Verdana"/>
          <w:noProof/>
          <w:sz w:val="22"/>
          <w:szCs w:val="22"/>
        </w:rPr>
        <w:t>This information is not held centrally.</w:t>
      </w:r>
      <w:r w:rsidRPr="009B7B7E">
        <w:rPr>
          <w:rFonts w:ascii="Verdana" w:hAnsi="Verdana"/>
          <w:b/>
          <w:bCs/>
          <w:noProof/>
          <w:sz w:val="22"/>
          <w:szCs w:val="22"/>
        </w:rPr>
        <w:t xml:space="preserve"> </w:t>
      </w:r>
      <w:r w:rsidRPr="009B7B7E">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Pr="009B7B7E">
        <w:rPr>
          <w:rFonts w:ascii="Verdana" w:hAnsi="Verdana" w:cs="Tahoma"/>
          <w:sz w:val="22"/>
          <w:szCs w:val="22"/>
        </w:rPr>
        <w:t>Section 12 of the FOI Act and T</w:t>
      </w:r>
      <w:r w:rsidRPr="009B7B7E">
        <w:rPr>
          <w:rFonts w:ascii="Verdana" w:hAnsi="Verdana"/>
          <w:sz w:val="22"/>
          <w:szCs w:val="22"/>
        </w:rPr>
        <w:t xml:space="preserve">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p>
    <w:p w14:paraId="3093A394" w14:textId="5499DE40" w:rsidR="00844D7A" w:rsidRPr="009B7B7E" w:rsidRDefault="00844D7A" w:rsidP="009B7B7E">
      <w:pPr>
        <w:numPr>
          <w:ilvl w:val="0"/>
          <w:numId w:val="19"/>
        </w:numPr>
        <w:tabs>
          <w:tab w:val="left" w:pos="7088"/>
        </w:tabs>
        <w:rPr>
          <w:rFonts w:ascii="Verdana" w:hAnsi="Verdana"/>
          <w:b/>
          <w:bCs/>
          <w:noProof/>
          <w:sz w:val="22"/>
          <w:szCs w:val="22"/>
        </w:rPr>
      </w:pPr>
      <w:r w:rsidRPr="00844D7A">
        <w:rPr>
          <w:rFonts w:ascii="Verdana" w:hAnsi="Verdana"/>
          <w:b/>
          <w:bCs/>
          <w:noProof/>
          <w:sz w:val="22"/>
          <w:szCs w:val="22"/>
        </w:rPr>
        <w:t xml:space="preserve">Tocilizumab for giant cell arteritis (GCA) only </w:t>
      </w:r>
      <w:r w:rsidR="009B7B7E">
        <w:rPr>
          <w:rFonts w:ascii="Verdana" w:hAnsi="Verdana"/>
          <w:b/>
          <w:bCs/>
          <w:noProof/>
          <w:sz w:val="22"/>
          <w:szCs w:val="22"/>
        </w:rPr>
        <w:br/>
      </w:r>
      <w:r w:rsidRPr="009B7B7E">
        <w:rPr>
          <w:rFonts w:ascii="Verdana" w:hAnsi="Verdana"/>
          <w:noProof/>
          <w:sz w:val="22"/>
          <w:szCs w:val="22"/>
        </w:rPr>
        <w:t>This information is not held centrally.</w:t>
      </w:r>
      <w:r w:rsidRPr="009B7B7E">
        <w:rPr>
          <w:rFonts w:ascii="Verdana" w:hAnsi="Verdana"/>
          <w:b/>
          <w:bCs/>
          <w:noProof/>
          <w:sz w:val="22"/>
          <w:szCs w:val="22"/>
        </w:rPr>
        <w:t xml:space="preserve"> </w:t>
      </w:r>
      <w:r w:rsidRPr="009B7B7E">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Pr="009B7B7E">
        <w:rPr>
          <w:rFonts w:ascii="Verdana" w:hAnsi="Verdana" w:cs="Tahoma"/>
          <w:sz w:val="22"/>
          <w:szCs w:val="22"/>
        </w:rPr>
        <w:t>Section 12 of the FOI Act and T</w:t>
      </w:r>
      <w:r w:rsidRPr="009B7B7E">
        <w:rPr>
          <w:rFonts w:ascii="Verdana" w:hAnsi="Verdana"/>
          <w:sz w:val="22"/>
          <w:szCs w:val="22"/>
        </w:rPr>
        <w:t xml:space="preserve">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r w:rsidRPr="009B7B7E">
        <w:rPr>
          <w:rFonts w:ascii="Verdana" w:hAnsi="Verdana"/>
          <w:b/>
          <w:bCs/>
          <w:noProof/>
          <w:sz w:val="22"/>
          <w:szCs w:val="22"/>
        </w:rPr>
        <w:br/>
      </w:r>
    </w:p>
    <w:p w14:paraId="6B1B071D" w14:textId="2DF01FB5" w:rsidR="00844D7A" w:rsidRPr="00844D7A" w:rsidRDefault="00844D7A" w:rsidP="003D17B0">
      <w:pPr>
        <w:tabs>
          <w:tab w:val="left" w:pos="8080"/>
        </w:tabs>
        <w:rPr>
          <w:rFonts w:ascii="Verdana" w:hAnsi="Verdana"/>
          <w:noProof/>
          <w:sz w:val="22"/>
          <w:szCs w:val="22"/>
        </w:rPr>
      </w:pPr>
      <w:r w:rsidRPr="00844D7A">
        <w:rPr>
          <w:rFonts w:ascii="Verdana" w:hAnsi="Verdana"/>
          <w:b/>
          <w:bCs/>
          <w:noProof/>
          <w:sz w:val="22"/>
          <w:szCs w:val="22"/>
        </w:rPr>
        <w:lastRenderedPageBreak/>
        <w:t>Q5. How many patients were treated by the ophthalmology department (for any disease) in the past 3 months with Tocilizumab?</w:t>
      </w:r>
      <w:r w:rsidR="000843F2">
        <w:rPr>
          <w:rFonts w:ascii="Verdana" w:hAnsi="Verdana"/>
          <w:b/>
          <w:bCs/>
          <w:noProof/>
          <w:sz w:val="22"/>
          <w:szCs w:val="22"/>
        </w:rPr>
        <w:br/>
      </w:r>
      <w:r w:rsidRPr="003D17B0">
        <w:rPr>
          <w:rFonts w:ascii="Verdana" w:hAnsi="Verdana"/>
          <w:noProof/>
          <w:sz w:val="22"/>
          <w:szCs w:val="22"/>
        </w:rPr>
        <w:t>0</w:t>
      </w:r>
    </w:p>
    <w:p w14:paraId="177EA5A4" w14:textId="77777777" w:rsidR="00844D7A" w:rsidRPr="00844D7A" w:rsidRDefault="00844D7A" w:rsidP="00844D7A">
      <w:pPr>
        <w:rPr>
          <w:rFonts w:ascii="Verdana" w:hAnsi="Verdana"/>
          <w:b/>
          <w:bCs/>
          <w:noProof/>
          <w:sz w:val="22"/>
          <w:szCs w:val="22"/>
        </w:rPr>
      </w:pPr>
    </w:p>
    <w:p w14:paraId="48B5DDBC" w14:textId="4D39F7B7" w:rsidR="00844D7A" w:rsidRPr="00844D7A" w:rsidRDefault="00844D7A" w:rsidP="009B7B7E">
      <w:pPr>
        <w:rPr>
          <w:rFonts w:ascii="Verdana" w:hAnsi="Verdana"/>
          <w:b/>
          <w:bCs/>
          <w:noProof/>
          <w:sz w:val="22"/>
          <w:szCs w:val="22"/>
        </w:rPr>
      </w:pPr>
      <w:r w:rsidRPr="00844D7A">
        <w:rPr>
          <w:rFonts w:ascii="Verdana" w:hAnsi="Verdana"/>
          <w:b/>
          <w:bCs/>
          <w:noProof/>
          <w:sz w:val="22"/>
          <w:szCs w:val="22"/>
        </w:rPr>
        <w:t>Q6. How many patients were treated in A&amp;E in the past 3 months for giant cell arteritis (GCA) with Tocilizumab?</w:t>
      </w:r>
      <w:r w:rsidR="009B7B7E">
        <w:rPr>
          <w:rFonts w:ascii="Verdana" w:hAnsi="Verdana"/>
          <w:b/>
          <w:bCs/>
          <w:noProof/>
          <w:sz w:val="22"/>
          <w:szCs w:val="22"/>
        </w:rPr>
        <w:br/>
      </w:r>
      <w:r w:rsidRPr="003738EA">
        <w:rPr>
          <w:rFonts w:ascii="Verdana" w:hAnsi="Verdana"/>
          <w:noProof/>
          <w:sz w:val="22"/>
          <w:szCs w:val="22"/>
        </w:rPr>
        <w:t>This information is not held centrally.</w:t>
      </w:r>
      <w:r>
        <w:rPr>
          <w:rFonts w:ascii="Verdana" w:hAnsi="Verdana"/>
          <w:b/>
          <w:bCs/>
          <w:noProof/>
          <w:sz w:val="22"/>
          <w:szCs w:val="22"/>
        </w:rPr>
        <w:t xml:space="preserve"> </w:t>
      </w:r>
      <w:r w:rsidRPr="00FC3B42">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r>
        <w:rPr>
          <w:rFonts w:ascii="Verdana" w:hAnsi="Verdana"/>
          <w:b/>
          <w:bCs/>
          <w:noProof/>
          <w:sz w:val="22"/>
          <w:szCs w:val="22"/>
        </w:rPr>
        <w:br/>
      </w:r>
    </w:p>
    <w:p w14:paraId="0408531C" w14:textId="43E0F7CE" w:rsidR="00844D7A" w:rsidRPr="00844D7A" w:rsidRDefault="00844D7A" w:rsidP="00844D7A">
      <w:pPr>
        <w:rPr>
          <w:rFonts w:ascii="Verdana" w:hAnsi="Verdana"/>
          <w:b/>
          <w:bCs/>
          <w:noProof/>
          <w:sz w:val="22"/>
          <w:szCs w:val="22"/>
        </w:rPr>
      </w:pPr>
      <w:r w:rsidRPr="00844D7A">
        <w:rPr>
          <w:rFonts w:ascii="Verdana" w:hAnsi="Verdana"/>
          <w:b/>
          <w:bCs/>
          <w:noProof/>
          <w:sz w:val="22"/>
          <w:szCs w:val="22"/>
        </w:rPr>
        <w:t>Q7. In the past 3 months</w:t>
      </w:r>
      <w:r>
        <w:rPr>
          <w:rFonts w:ascii="Verdana" w:hAnsi="Verdana"/>
          <w:b/>
          <w:bCs/>
          <w:noProof/>
          <w:sz w:val="22"/>
          <w:szCs w:val="22"/>
        </w:rPr>
        <w:t xml:space="preserve"> </w:t>
      </w:r>
      <w:r w:rsidRPr="00844D7A">
        <w:rPr>
          <w:rFonts w:ascii="Verdana" w:hAnsi="Verdana"/>
          <w:b/>
          <w:bCs/>
          <w:noProof/>
          <w:sz w:val="22"/>
          <w:szCs w:val="22"/>
        </w:rPr>
        <w:t>how many patients with a primary diagnosis of GCA (ICD10 codes M31.5 or M31.6) were:</w:t>
      </w:r>
    </w:p>
    <w:p w14:paraId="6AB08C68" w14:textId="06BDF876" w:rsidR="003D17B0" w:rsidRDefault="00844D7A" w:rsidP="003D17B0">
      <w:pPr>
        <w:numPr>
          <w:ilvl w:val="0"/>
          <w:numId w:val="20"/>
        </w:numPr>
        <w:tabs>
          <w:tab w:val="left" w:pos="8080"/>
        </w:tabs>
        <w:rPr>
          <w:rFonts w:ascii="Verdana" w:hAnsi="Verdana"/>
          <w:noProof/>
          <w:sz w:val="22"/>
          <w:szCs w:val="22"/>
        </w:rPr>
      </w:pPr>
      <w:r w:rsidRPr="00844D7A">
        <w:rPr>
          <w:rFonts w:ascii="Verdana" w:hAnsi="Verdana"/>
          <w:b/>
          <w:bCs/>
          <w:noProof/>
          <w:sz w:val="22"/>
          <w:szCs w:val="22"/>
        </w:rPr>
        <w:t>Admitted as an inpatient</w:t>
      </w:r>
      <w:r w:rsidR="003D17B0" w:rsidRPr="003D17B0">
        <w:rPr>
          <w:rFonts w:ascii="Verdana" w:hAnsi="Verdana"/>
          <w:b/>
          <w:bCs/>
          <w:noProof/>
          <w:sz w:val="22"/>
          <w:szCs w:val="22"/>
        </w:rPr>
        <w:tab/>
      </w:r>
      <w:r w:rsidR="000843F2">
        <w:rPr>
          <w:rFonts w:ascii="Verdana" w:hAnsi="Verdana"/>
          <w:b/>
          <w:bCs/>
          <w:noProof/>
          <w:sz w:val="22"/>
          <w:szCs w:val="22"/>
        </w:rPr>
        <w:br/>
      </w:r>
      <w:r w:rsidR="003D17B0" w:rsidRPr="003D17B0">
        <w:rPr>
          <w:rFonts w:ascii="Verdana" w:hAnsi="Verdana"/>
          <w:noProof/>
          <w:sz w:val="22"/>
          <w:szCs w:val="22"/>
        </w:rPr>
        <w:t xml:space="preserve">0 </w:t>
      </w:r>
    </w:p>
    <w:p w14:paraId="705FE86B" w14:textId="7B2D3319" w:rsidR="003D17B0" w:rsidRPr="003D17B0" w:rsidRDefault="003D17B0" w:rsidP="003D17B0">
      <w:pPr>
        <w:ind w:left="720"/>
        <w:rPr>
          <w:rFonts w:ascii="Verdana" w:hAnsi="Verdana"/>
          <w:noProof/>
          <w:sz w:val="22"/>
          <w:szCs w:val="22"/>
        </w:rPr>
      </w:pPr>
      <w:r w:rsidRPr="003D17B0">
        <w:rPr>
          <w:rFonts w:ascii="Verdana" w:hAnsi="Verdana"/>
          <w:noProof/>
          <w:sz w:val="22"/>
          <w:szCs w:val="22"/>
        </w:rPr>
        <w:t>None were admitted as an inpatient.  9 individual patients were admitted in this period as a Day Case or RDA</w:t>
      </w:r>
      <w:r>
        <w:rPr>
          <w:rFonts w:ascii="Verdana" w:hAnsi="Verdana"/>
          <w:noProof/>
          <w:sz w:val="22"/>
          <w:szCs w:val="22"/>
        </w:rPr>
        <w:t xml:space="preserve">.  </w:t>
      </w:r>
    </w:p>
    <w:p w14:paraId="3F3D5F1C" w14:textId="77777777" w:rsidR="003D17B0" w:rsidRDefault="003D17B0" w:rsidP="003D17B0">
      <w:pPr>
        <w:ind w:left="720"/>
        <w:rPr>
          <w:rFonts w:ascii="Verdana" w:hAnsi="Verdana"/>
          <w:b/>
          <w:bCs/>
          <w:noProof/>
          <w:sz w:val="22"/>
          <w:szCs w:val="22"/>
        </w:rPr>
      </w:pPr>
    </w:p>
    <w:p w14:paraId="5996394C" w14:textId="40F180F0" w:rsidR="003D17B0" w:rsidRDefault="00844D7A" w:rsidP="003D17B0">
      <w:pPr>
        <w:numPr>
          <w:ilvl w:val="0"/>
          <w:numId w:val="20"/>
        </w:numPr>
        <w:tabs>
          <w:tab w:val="left" w:pos="8080"/>
        </w:tabs>
        <w:rPr>
          <w:rFonts w:ascii="Verdana" w:hAnsi="Verdana"/>
          <w:noProof/>
          <w:sz w:val="22"/>
          <w:szCs w:val="22"/>
        </w:rPr>
      </w:pPr>
      <w:r w:rsidRPr="00844D7A">
        <w:rPr>
          <w:rFonts w:ascii="Verdana" w:hAnsi="Verdana"/>
          <w:b/>
          <w:bCs/>
          <w:noProof/>
          <w:sz w:val="22"/>
          <w:szCs w:val="22"/>
        </w:rPr>
        <w:t>Treated in A&amp;E</w:t>
      </w:r>
      <w:r w:rsidR="003D17B0" w:rsidRPr="003D17B0">
        <w:rPr>
          <w:rFonts w:ascii="Verdana" w:hAnsi="Verdana"/>
          <w:b/>
          <w:bCs/>
          <w:noProof/>
          <w:sz w:val="22"/>
          <w:szCs w:val="22"/>
        </w:rPr>
        <w:tab/>
      </w:r>
      <w:r w:rsidR="000843F2">
        <w:rPr>
          <w:rFonts w:ascii="Verdana" w:hAnsi="Verdana"/>
          <w:b/>
          <w:bCs/>
          <w:noProof/>
          <w:sz w:val="22"/>
          <w:szCs w:val="22"/>
        </w:rPr>
        <w:br/>
      </w:r>
      <w:r w:rsidR="003D17B0" w:rsidRPr="003D17B0">
        <w:rPr>
          <w:rFonts w:ascii="Verdana" w:hAnsi="Verdana"/>
          <w:noProof/>
          <w:sz w:val="22"/>
          <w:szCs w:val="22"/>
        </w:rPr>
        <w:t xml:space="preserve">0 </w:t>
      </w:r>
    </w:p>
    <w:p w14:paraId="2178A95B" w14:textId="54B6B848" w:rsidR="00873328" w:rsidRPr="003D17B0" w:rsidRDefault="003D17B0" w:rsidP="003D17B0">
      <w:pPr>
        <w:ind w:left="720"/>
        <w:rPr>
          <w:rFonts w:ascii="Verdana" w:hAnsi="Verdana"/>
          <w:noProof/>
          <w:sz w:val="22"/>
          <w:szCs w:val="22"/>
        </w:rPr>
      </w:pPr>
      <w:r w:rsidRPr="003D17B0">
        <w:rPr>
          <w:rFonts w:ascii="Verdana" w:hAnsi="Verdana"/>
          <w:noProof/>
          <w:sz w:val="22"/>
          <w:szCs w:val="22"/>
        </w:rPr>
        <w:t>There were no patients treated in A&amp;E who then went on to be admitted with a primary diagnosis of M31.5 or M31.6 during this time period</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7" type="#_x0000_t75" style="width:20.25pt;height:20.25pt;visibility:visible;mso-wrap-style:square" o:bullet="t">
        <v:imagedata r:id="rId1" o:title=""/>
      </v:shape>
    </w:pict>
  </w:numPicBullet>
  <w:numPicBullet w:numPicBulletId="1">
    <w:pict>
      <v:shape id="_x0000_i1088" type="#_x0000_t75" style="width:382.5pt;height:382.5pt;visibility:visible;mso-wrap-style:square" o:bullet="t">
        <v:imagedata r:id="rId2" o:title=""/>
      </v:shape>
    </w:pict>
  </w:numPicBullet>
  <w:numPicBullet w:numPicBulletId="2">
    <w:pict>
      <v:shape id="_x0000_i1089" type="#_x0000_t75" style="width:225.75pt;height:225.75pt;visibility:visible;mso-wrap-style:square" o:bullet="t">
        <v:imagedata r:id="rId3" o:title=""/>
      </v:shape>
    </w:pict>
  </w:numPicBullet>
  <w:numPicBullet w:numPicBulletId="3">
    <w:pict>
      <v:shape id="_x0000_i1090"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82032E"/>
    <w:multiLevelType w:val="hybridMultilevel"/>
    <w:tmpl w:val="5928E75A"/>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2446134"/>
    <w:multiLevelType w:val="hybridMultilevel"/>
    <w:tmpl w:val="C4BCE426"/>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5"/>
  </w:num>
  <w:num w:numId="6" w16cid:durableId="1293360629">
    <w:abstractNumId w:val="4"/>
  </w:num>
  <w:num w:numId="7" w16cid:durableId="479228409">
    <w:abstractNumId w:val="11"/>
  </w:num>
  <w:num w:numId="8" w16cid:durableId="1553300907">
    <w:abstractNumId w:val="15"/>
  </w:num>
  <w:num w:numId="9" w16cid:durableId="687946864">
    <w:abstractNumId w:val="19"/>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3"/>
  </w:num>
  <w:num w:numId="19" w16cid:durableId="2082408940">
    <w:abstractNumId w:val="2"/>
  </w:num>
  <w:num w:numId="20" w16cid:durableId="34872226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51A97"/>
    <w:rsid w:val="000843F2"/>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D17B0"/>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27352"/>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2EDD"/>
    <w:rsid w:val="00824D19"/>
    <w:rsid w:val="00844D7A"/>
    <w:rsid w:val="00846C1D"/>
    <w:rsid w:val="00873328"/>
    <w:rsid w:val="0089491A"/>
    <w:rsid w:val="008A2D60"/>
    <w:rsid w:val="0090178A"/>
    <w:rsid w:val="00903F05"/>
    <w:rsid w:val="00912B14"/>
    <w:rsid w:val="009267EE"/>
    <w:rsid w:val="009269BD"/>
    <w:rsid w:val="00937E61"/>
    <w:rsid w:val="009574AC"/>
    <w:rsid w:val="0097092D"/>
    <w:rsid w:val="00982170"/>
    <w:rsid w:val="009A0943"/>
    <w:rsid w:val="009B087A"/>
    <w:rsid w:val="009B21AD"/>
    <w:rsid w:val="009B7B7E"/>
    <w:rsid w:val="009B7CC6"/>
    <w:rsid w:val="009C5169"/>
    <w:rsid w:val="009D50E8"/>
    <w:rsid w:val="009F7815"/>
    <w:rsid w:val="00A10460"/>
    <w:rsid w:val="00A17614"/>
    <w:rsid w:val="00A56076"/>
    <w:rsid w:val="00A80902"/>
    <w:rsid w:val="00A84640"/>
    <w:rsid w:val="00AB4D54"/>
    <w:rsid w:val="00AF0E8B"/>
    <w:rsid w:val="00AF691A"/>
    <w:rsid w:val="00B0259B"/>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46705"/>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822EDD"/>
    <w:rPr>
      <w:sz w:val="16"/>
      <w:szCs w:val="16"/>
    </w:rPr>
  </w:style>
  <w:style w:type="paragraph" w:styleId="CommentText">
    <w:name w:val="annotation text"/>
    <w:basedOn w:val="Normal"/>
    <w:link w:val="CommentTextChar"/>
    <w:uiPriority w:val="99"/>
    <w:unhideWhenUsed/>
    <w:rsid w:val="00822EDD"/>
    <w:pPr>
      <w:spacing w:line="240" w:lineRule="auto"/>
    </w:pPr>
    <w:rPr>
      <w:sz w:val="20"/>
      <w:szCs w:val="20"/>
    </w:rPr>
  </w:style>
  <w:style w:type="character" w:customStyle="1" w:styleId="CommentTextChar">
    <w:name w:val="Comment Text Char"/>
    <w:basedOn w:val="DefaultParagraphFont"/>
    <w:link w:val="CommentText"/>
    <w:uiPriority w:val="99"/>
    <w:rsid w:val="00822EDD"/>
  </w:style>
  <w:style w:type="paragraph" w:styleId="CommentSubject">
    <w:name w:val="annotation subject"/>
    <w:basedOn w:val="CommentText"/>
    <w:next w:val="CommentText"/>
    <w:link w:val="CommentSubjectChar"/>
    <w:uiPriority w:val="99"/>
    <w:semiHidden/>
    <w:unhideWhenUsed/>
    <w:rsid w:val="00822EDD"/>
    <w:rPr>
      <w:b/>
      <w:bCs/>
    </w:rPr>
  </w:style>
  <w:style w:type="character" w:customStyle="1" w:styleId="CommentSubjectChar">
    <w:name w:val="Comment Subject Char"/>
    <w:basedOn w:val="CommentTextChar"/>
    <w:link w:val="CommentSubject"/>
    <w:uiPriority w:val="99"/>
    <w:semiHidden/>
    <w:rsid w:val="00822ED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1162</TotalTime>
  <Pages>2</Pages>
  <Words>544</Words>
  <Characters>2733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2019-03-26T11:11:00Z</cp:lastPrinted>
  <dcterms:created xsi:type="dcterms:W3CDTF">2021-09-13T07:38:00Z</dcterms:created>
  <dcterms:modified xsi:type="dcterms:W3CDTF">2025-10-14T10:55:00Z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305bffe0-efbe-48cf-a628-935cc386e533</vt:lpwstr>
  </property>
</Properties>
</file>