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PlainTable4"/>
        <w:tblW w:w="9350" w:type="dxa"/>
        <w:tblLook w:val="04A0" w:firstRow="1" w:lastRow="0" w:firstColumn="1" w:lastColumn="0" w:noHBand="0" w:noVBand="1"/>
      </w:tblPr>
      <w:tblGrid>
        <w:gridCol w:w="3396"/>
        <w:gridCol w:w="5954"/>
      </w:tblGrid>
      <w:tr w:rsidR="00871470" w:rsidRPr="00147F82" w14:paraId="14A2AE7E" w14:textId="77777777" w:rsidTr="009434A6">
        <w:trPr>
          <w:cnfStyle w:val="100000000000" w:firstRow="1" w:lastRow="0" w:firstColumn="0" w:lastColumn="0" w:oddVBand="0" w:evenVBand="0" w:oddHBand="0"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3396" w:type="dxa"/>
            <w:shd w:val="clear" w:color="auto" w:fill="auto"/>
            <w:vAlign w:val="center"/>
          </w:tcPr>
          <w:p w14:paraId="6DDD7961" w14:textId="77777777" w:rsidR="00871470" w:rsidRPr="00147F82" w:rsidRDefault="00871470" w:rsidP="009434A6">
            <w:pPr>
              <w:spacing w:line="360" w:lineRule="auto"/>
              <w:contextualSpacing/>
              <w:jc w:val="center"/>
              <w:rPr>
                <w:rFonts w:ascii="Century Gothic" w:hAnsi="Century Gothic"/>
                <w:noProof/>
                <w:sz w:val="20"/>
              </w:rPr>
            </w:pPr>
            <w:r>
              <w:rPr>
                <w:rFonts w:ascii="Verdana" w:hAnsi="Verdana"/>
                <w:b w:val="0"/>
                <w:bCs w:val="0"/>
              </w:rPr>
              <w:br w:type="page"/>
            </w:r>
            <w:r w:rsidRPr="00147F82">
              <w:rPr>
                <w:rFonts w:ascii="Century Gothic" w:hAnsi="Century Gothic"/>
                <w:noProof/>
                <w:sz w:val="20"/>
              </w:rPr>
              <w:drawing>
                <wp:inline distT="0" distB="0" distL="0" distR="0" wp14:anchorId="0EA4310B" wp14:editId="4BFA38D4">
                  <wp:extent cx="2013371" cy="656314"/>
                  <wp:effectExtent l="0" t="0" r="6350" b="0"/>
                  <wp:docPr id="4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9.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94593" cy="682790"/>
                          </a:xfrm>
                          <a:prstGeom prst="rect">
                            <a:avLst/>
                          </a:prstGeom>
                        </pic:spPr>
                      </pic:pic>
                    </a:graphicData>
                  </a:graphic>
                </wp:inline>
              </w:drawing>
            </w:r>
          </w:p>
        </w:tc>
        <w:tc>
          <w:tcPr>
            <w:tcW w:w="5954" w:type="dxa"/>
            <w:shd w:val="clear" w:color="auto" w:fill="auto"/>
            <w:vAlign w:val="center"/>
          </w:tcPr>
          <w:p w14:paraId="64866C9B" w14:textId="77777777" w:rsidR="00871470" w:rsidRDefault="00871470" w:rsidP="009434A6">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Style w:val="normaltextrun"/>
                <w:rFonts w:ascii="Century Gothic" w:hAnsi="Century Gothic"/>
                <w:color w:val="000000"/>
                <w:sz w:val="40"/>
                <w:szCs w:val="40"/>
                <w:shd w:val="clear" w:color="auto" w:fill="FFFFFF"/>
              </w:rPr>
            </w:pPr>
          </w:p>
          <w:p w14:paraId="14016595" w14:textId="233F3D67" w:rsidR="00871470" w:rsidRPr="00147F82" w:rsidRDefault="00871470" w:rsidP="009434A6">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Style w:val="normaltextrun"/>
                <w:rFonts w:ascii="Century Gothic" w:hAnsi="Century Gothic"/>
                <w:color w:val="000000"/>
                <w:sz w:val="40"/>
                <w:szCs w:val="40"/>
                <w:shd w:val="clear" w:color="auto" w:fill="FFFFFF"/>
              </w:rPr>
            </w:pPr>
            <w:r w:rsidRPr="000D21C4">
              <w:rPr>
                <w:rStyle w:val="normaltextrun"/>
                <w:rFonts w:ascii="Century Gothic" w:hAnsi="Century Gothic"/>
                <w:color w:val="000000"/>
                <w:sz w:val="40"/>
                <w:szCs w:val="40"/>
                <w:shd w:val="clear" w:color="auto" w:fill="FFFFFF"/>
              </w:rPr>
              <w:t>WELSH HEALTH SPECIALISED SERVICES COMMITTEE</w:t>
            </w:r>
          </w:p>
        </w:tc>
      </w:tr>
      <w:tr w:rsidR="00871470" w:rsidRPr="000271E3" w14:paraId="5C2EAC2D" w14:textId="77777777" w:rsidTr="009434A6">
        <w:trPr>
          <w:cnfStyle w:val="000000100000" w:firstRow="0" w:lastRow="0" w:firstColumn="0" w:lastColumn="0" w:oddVBand="0" w:evenVBand="0" w:oddHBand="1"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9350" w:type="dxa"/>
            <w:gridSpan w:val="2"/>
            <w:shd w:val="clear" w:color="auto" w:fill="auto"/>
            <w:vAlign w:val="center"/>
          </w:tcPr>
          <w:p w14:paraId="400CD571" w14:textId="77777777" w:rsidR="00871470" w:rsidRDefault="00871470" w:rsidP="009434A6">
            <w:pPr>
              <w:spacing w:line="360" w:lineRule="auto"/>
              <w:contextualSpacing/>
              <w:rPr>
                <w:rStyle w:val="normaltextrun"/>
                <w:rFonts w:ascii="Century Gothic" w:hAnsi="Century Gothic"/>
                <w:bCs w:val="0"/>
                <w:color w:val="000000"/>
                <w:sz w:val="40"/>
                <w:szCs w:val="40"/>
                <w:shd w:val="clear" w:color="auto" w:fill="FFFFFF"/>
              </w:rPr>
            </w:pPr>
            <w:r w:rsidRPr="00E72CB8">
              <w:rPr>
                <w:rFonts w:ascii="Century Gothic" w:hAnsi="Century Gothic"/>
                <w:noProof/>
                <w:color w:val="000000"/>
                <w:sz w:val="40"/>
                <w:szCs w:val="40"/>
                <w:shd w:val="clear" w:color="auto" w:fill="FFFFFF"/>
              </w:rPr>
              <w:drawing>
                <wp:inline distT="0" distB="0" distL="0" distR="0" wp14:anchorId="596301F1" wp14:editId="464E6E17">
                  <wp:extent cx="2498652" cy="1945758"/>
                  <wp:effectExtent l="0" t="0" r="0" b="0"/>
                  <wp:docPr id="9" name="Picture 11"/>
                  <wp:cNvGraphicFramePr/>
                  <a:graphic xmlns:a="http://schemas.openxmlformats.org/drawingml/2006/main">
                    <a:graphicData uri="http://schemas.openxmlformats.org/drawingml/2006/picture">
                      <pic:pic xmlns:pic="http://schemas.openxmlformats.org/drawingml/2006/picture">
                        <pic:nvPicPr>
                          <pic:cNvPr id="12" name="Picture 1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52155" cy="1987422"/>
                          </a:xfrm>
                          <a:prstGeom prst="rect">
                            <a:avLst/>
                          </a:prstGeom>
                          <a:noFill/>
                          <a:ln>
                            <a:noFill/>
                          </a:ln>
                        </pic:spPr>
                      </pic:pic>
                    </a:graphicData>
                  </a:graphic>
                </wp:inline>
              </w:drawing>
            </w:r>
            <w:r>
              <w:rPr>
                <w:rStyle w:val="normaltextrun"/>
                <w:rFonts w:ascii="Century Gothic" w:hAnsi="Century Gothic"/>
                <w:bCs w:val="0"/>
                <w:color w:val="000000"/>
                <w:sz w:val="40"/>
                <w:szCs w:val="40"/>
                <w:shd w:val="clear" w:color="auto" w:fill="FFFFFF"/>
              </w:rPr>
              <w:t xml:space="preserve">               </w:t>
            </w:r>
            <w:r w:rsidRPr="00E72CB8">
              <w:rPr>
                <w:rFonts w:ascii="Century Gothic" w:hAnsi="Century Gothic"/>
                <w:noProof/>
                <w:color w:val="000000"/>
                <w:sz w:val="40"/>
                <w:szCs w:val="40"/>
                <w:shd w:val="clear" w:color="auto" w:fill="FFFFFF"/>
              </w:rPr>
              <w:drawing>
                <wp:inline distT="0" distB="0" distL="0" distR="0" wp14:anchorId="49E245A4" wp14:editId="089683E4">
                  <wp:extent cx="2135933" cy="1920508"/>
                  <wp:effectExtent l="0" t="0" r="0" b="3810"/>
                  <wp:docPr id="11" name="Picture 10"/>
                  <wp:cNvGraphicFramePr/>
                  <a:graphic xmlns:a="http://schemas.openxmlformats.org/drawingml/2006/main">
                    <a:graphicData uri="http://schemas.openxmlformats.org/drawingml/2006/picture">
                      <pic:pic xmlns:pic="http://schemas.openxmlformats.org/drawingml/2006/picture">
                        <pic:nvPicPr>
                          <pic:cNvPr id="11" name="Picture 10"/>
                          <pic:cNvPicPr/>
                        </pic:nvPicPr>
                        <pic:blipFill rotWithShape="1">
                          <a:blip r:embed="rId10" cstate="print">
                            <a:extLst>
                              <a:ext uri="{28A0092B-C50C-407E-A947-70E740481C1C}">
                                <a14:useLocalDpi xmlns:a14="http://schemas.microsoft.com/office/drawing/2010/main" val="0"/>
                              </a:ext>
                            </a:extLst>
                          </a:blip>
                          <a:srcRect l="6982" r="33558"/>
                          <a:stretch/>
                        </pic:blipFill>
                        <pic:spPr bwMode="auto">
                          <a:xfrm>
                            <a:off x="0" y="0"/>
                            <a:ext cx="2242968" cy="2016748"/>
                          </a:xfrm>
                          <a:prstGeom prst="rect">
                            <a:avLst/>
                          </a:prstGeom>
                          <a:noFill/>
                          <a:ln>
                            <a:noFill/>
                          </a:ln>
                          <a:extLst>
                            <a:ext uri="{53640926-AAD7-44D8-BBD7-CCE9431645EC}">
                              <a14:shadowObscured xmlns:a14="http://schemas.microsoft.com/office/drawing/2010/main"/>
                            </a:ext>
                          </a:extLst>
                        </pic:spPr>
                      </pic:pic>
                    </a:graphicData>
                  </a:graphic>
                </wp:inline>
              </w:drawing>
            </w:r>
            <w:r>
              <w:rPr>
                <w:rStyle w:val="normaltextrun"/>
                <w:rFonts w:ascii="Century Gothic" w:hAnsi="Century Gothic"/>
                <w:bCs w:val="0"/>
                <w:color w:val="000000"/>
                <w:sz w:val="40"/>
                <w:szCs w:val="40"/>
                <w:shd w:val="clear" w:color="auto" w:fill="FFFFFF"/>
              </w:rPr>
              <w:t xml:space="preserve">                </w:t>
            </w:r>
          </w:p>
          <w:p w14:paraId="47651655" w14:textId="77777777" w:rsidR="00871470" w:rsidRDefault="00871470" w:rsidP="009434A6">
            <w:pPr>
              <w:pStyle w:val="NoSpacing"/>
              <w:rPr>
                <w:rStyle w:val="normaltextrun"/>
                <w:rFonts w:ascii="Century Gothic" w:hAnsi="Century Gothic"/>
                <w:bCs w:val="0"/>
                <w:color w:val="000000"/>
                <w:sz w:val="40"/>
                <w:szCs w:val="40"/>
                <w:shd w:val="clear" w:color="auto" w:fill="FFFFFF"/>
              </w:rPr>
            </w:pPr>
          </w:p>
          <w:p w14:paraId="0C16A342" w14:textId="77777777" w:rsidR="00871470" w:rsidRDefault="00871470" w:rsidP="00871470">
            <w:pPr>
              <w:jc w:val="center"/>
              <w:rPr>
                <w:rFonts w:ascii="Verdana" w:hAnsi="Verdana"/>
                <w:b w:val="0"/>
                <w:bCs w:val="0"/>
              </w:rPr>
            </w:pPr>
            <w:r>
              <w:rPr>
                <w:rFonts w:ascii="Verdana" w:hAnsi="Verdana"/>
              </w:rPr>
              <w:t xml:space="preserve">PROPOSED CHANGES TO THE SOUTH EAST WALES, SOUTH WEST WALES AND SOUTH POWYS COCHLEAR IMPLANT AND BONE CONDUCTION HEARING IMPLANT (BCHI) </w:t>
            </w:r>
          </w:p>
          <w:p w14:paraId="5B81CF6D" w14:textId="77777777" w:rsidR="00871470" w:rsidRDefault="00871470" w:rsidP="00871470">
            <w:pPr>
              <w:jc w:val="center"/>
              <w:rPr>
                <w:rFonts w:ascii="Verdana" w:hAnsi="Verdana"/>
                <w:b w:val="0"/>
                <w:bCs w:val="0"/>
              </w:rPr>
            </w:pPr>
            <w:r>
              <w:rPr>
                <w:rFonts w:ascii="Verdana" w:hAnsi="Verdana"/>
              </w:rPr>
              <w:t>DEVICE SERVICE</w:t>
            </w:r>
          </w:p>
          <w:p w14:paraId="1DFF6822" w14:textId="77777777" w:rsidR="00871470" w:rsidRPr="000E117C" w:rsidRDefault="00871470" w:rsidP="00871470">
            <w:pPr>
              <w:jc w:val="center"/>
              <w:rPr>
                <w:rFonts w:ascii="Verdana" w:hAnsi="Verdana"/>
                <w:b w:val="0"/>
              </w:rPr>
            </w:pPr>
          </w:p>
          <w:p w14:paraId="6A4AAA87" w14:textId="0E3244CC" w:rsidR="00871470" w:rsidRDefault="00871470" w:rsidP="00871470">
            <w:pPr>
              <w:jc w:val="center"/>
              <w:rPr>
                <w:rFonts w:ascii="Verdana" w:hAnsi="Verdana"/>
                <w:b w:val="0"/>
              </w:rPr>
            </w:pPr>
            <w:r w:rsidRPr="000E117C">
              <w:rPr>
                <w:rFonts w:ascii="Verdana" w:hAnsi="Verdana"/>
              </w:rPr>
              <w:t>EQUALITY IMPACT ASSESSMENT (EIA)</w:t>
            </w:r>
          </w:p>
          <w:p w14:paraId="4D7CF680" w14:textId="77777777" w:rsidR="00871470" w:rsidRDefault="00871470" w:rsidP="00871470">
            <w:pPr>
              <w:pStyle w:val="NoSpacing"/>
              <w:jc w:val="center"/>
            </w:pPr>
          </w:p>
          <w:p w14:paraId="4E097733" w14:textId="77777777" w:rsidR="00871470" w:rsidRPr="000D21C4" w:rsidRDefault="00871470" w:rsidP="00871470">
            <w:pPr>
              <w:pStyle w:val="NoSpacing"/>
              <w:jc w:val="center"/>
            </w:pPr>
          </w:p>
        </w:tc>
      </w:tr>
      <w:tr w:rsidR="00871470" w:rsidRPr="00147F82" w14:paraId="1A54997F" w14:textId="77777777" w:rsidTr="009434A6">
        <w:trPr>
          <w:trHeight w:val="2520"/>
        </w:trPr>
        <w:tc>
          <w:tcPr>
            <w:cnfStyle w:val="001000000000" w:firstRow="0" w:lastRow="0" w:firstColumn="1" w:lastColumn="0" w:oddVBand="0" w:evenVBand="0" w:oddHBand="0" w:evenHBand="0" w:firstRowFirstColumn="0" w:firstRowLastColumn="0" w:lastRowFirstColumn="0" w:lastRowLastColumn="0"/>
            <w:tcW w:w="9350" w:type="dxa"/>
            <w:gridSpan w:val="2"/>
            <w:shd w:val="clear" w:color="auto" w:fill="auto"/>
            <w:vAlign w:val="center"/>
          </w:tcPr>
          <w:p w14:paraId="05903396" w14:textId="77777777" w:rsidR="00871470" w:rsidRDefault="00871470" w:rsidP="009434A6">
            <w:r w:rsidRPr="00E72CB8">
              <w:rPr>
                <w:b w:val="0"/>
                <w:bCs w:val="0"/>
                <w:noProof/>
              </w:rPr>
              <w:t xml:space="preserve"> </w:t>
            </w:r>
            <w:r>
              <w:rPr>
                <w:b w:val="0"/>
                <w:bCs w:val="0"/>
                <w:noProof/>
              </w:rPr>
              <w:t xml:space="preserve">                                         </w:t>
            </w:r>
          </w:p>
          <w:p w14:paraId="0817B0ED" w14:textId="77777777" w:rsidR="00871470" w:rsidRDefault="00871470" w:rsidP="009434A6"/>
          <w:p w14:paraId="0FEB26C1" w14:textId="77777777" w:rsidR="00871470" w:rsidRDefault="00871470" w:rsidP="009434A6">
            <w:r w:rsidRPr="00E72CB8">
              <w:rPr>
                <w:noProof/>
              </w:rPr>
              <w:drawing>
                <wp:inline distT="0" distB="0" distL="0" distR="0" wp14:anchorId="114E771B" wp14:editId="0A3BFFE8">
                  <wp:extent cx="1733384" cy="1748155"/>
                  <wp:effectExtent l="0" t="0" r="635" b="4445"/>
                  <wp:docPr id="5" name="Picture 9" descr="C:\Users\si121175\AppData\Local\Microsoft\Windows\INetCache\Content.Word\220525_01_Uni_Lecture_0917.tif"/>
                  <wp:cNvGraphicFramePr/>
                  <a:graphic xmlns:a="http://schemas.openxmlformats.org/drawingml/2006/main">
                    <a:graphicData uri="http://schemas.openxmlformats.org/drawingml/2006/picture">
                      <pic:pic xmlns:pic="http://schemas.openxmlformats.org/drawingml/2006/picture">
                        <pic:nvPicPr>
                          <pic:cNvPr id="10" name="Picture 9" descr="C:\Users\si121175\AppData\Local\Microsoft\Windows\INetCache\Content.Word\220525_01_Uni_Lecture_0917.tif"/>
                          <pic:cNvPicPr/>
                        </pic:nvPicPr>
                        <pic:blipFill rotWithShape="1">
                          <a:blip r:embed="rId11" cstate="print">
                            <a:extLst>
                              <a:ext uri="{28A0092B-C50C-407E-A947-70E740481C1C}">
                                <a14:useLocalDpi xmlns:a14="http://schemas.microsoft.com/office/drawing/2010/main" val="0"/>
                              </a:ext>
                            </a:extLst>
                          </a:blip>
                          <a:srcRect l="18394" t="17448" r="33405"/>
                          <a:stretch/>
                        </pic:blipFill>
                        <pic:spPr bwMode="auto">
                          <a:xfrm>
                            <a:off x="0" y="0"/>
                            <a:ext cx="1784236" cy="179944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AD52A7E" wp14:editId="1ECBFAFE">
                  <wp:extent cx="1860412" cy="1747347"/>
                  <wp:effectExtent l="0" t="0" r="698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94360" cy="1779232"/>
                          </a:xfrm>
                          <a:prstGeom prst="rect">
                            <a:avLst/>
                          </a:prstGeom>
                          <a:noFill/>
                          <a:ln>
                            <a:noFill/>
                          </a:ln>
                        </pic:spPr>
                      </pic:pic>
                    </a:graphicData>
                  </a:graphic>
                </wp:inline>
              </w:drawing>
            </w:r>
            <w:r>
              <w:rPr>
                <w:noProof/>
              </w:rPr>
              <w:drawing>
                <wp:inline distT="0" distB="0" distL="0" distR="0" wp14:anchorId="1268A63D" wp14:editId="53BE1BF8">
                  <wp:extent cx="1955690" cy="1748503"/>
                  <wp:effectExtent l="0" t="0" r="6985" b="4445"/>
                  <wp:docPr id="4" name="Picture 4" descr="C:\Users\si121175\AppData\Local\Microsoft\Windows\INetCache\Content.MSO\CBF8A9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121175\AppData\Local\Microsoft\Windows\INetCache\Content.MSO\CBF8A9BC.tmp"/>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81556" cy="1861034"/>
                          </a:xfrm>
                          <a:prstGeom prst="rect">
                            <a:avLst/>
                          </a:prstGeom>
                          <a:noFill/>
                          <a:ln>
                            <a:noFill/>
                          </a:ln>
                        </pic:spPr>
                      </pic:pic>
                    </a:graphicData>
                  </a:graphic>
                </wp:inline>
              </w:drawing>
            </w:r>
          </w:p>
          <w:p w14:paraId="4B3A657F" w14:textId="77777777" w:rsidR="00871470" w:rsidRPr="00147F82" w:rsidRDefault="00871470" w:rsidP="009434A6">
            <w:pPr>
              <w:spacing w:line="360" w:lineRule="auto"/>
              <w:contextualSpacing/>
              <w:rPr>
                <w:rStyle w:val="normaltextrun"/>
                <w:rFonts w:ascii="Century Gothic" w:hAnsi="Century Gothic"/>
                <w:color w:val="000000"/>
                <w:sz w:val="40"/>
                <w:szCs w:val="40"/>
                <w:shd w:val="clear" w:color="auto" w:fill="FFFFFF"/>
              </w:rPr>
            </w:pPr>
          </w:p>
        </w:tc>
      </w:tr>
    </w:tbl>
    <w:p w14:paraId="3A91673E" w14:textId="77777777" w:rsidR="00871470" w:rsidRDefault="00871470" w:rsidP="00871470"/>
    <w:p w14:paraId="773281A6" w14:textId="77777777" w:rsidR="00871470" w:rsidRDefault="00871470" w:rsidP="00871470">
      <w:r>
        <w:rPr>
          <w:rFonts w:asciiTheme="minorHAnsi" w:hAnsiTheme="minorHAnsi" w:cstheme="minorHAnsi"/>
          <w:color w:val="242424"/>
          <w:sz w:val="16"/>
          <w:szCs w:val="16"/>
        </w:rPr>
        <w:t>C</w:t>
      </w:r>
      <w:r w:rsidRPr="00E94C2E">
        <w:rPr>
          <w:rFonts w:asciiTheme="minorHAnsi" w:hAnsiTheme="minorHAnsi" w:cstheme="minorHAnsi"/>
          <w:color w:val="242424"/>
          <w:sz w:val="16"/>
          <w:szCs w:val="16"/>
        </w:rPr>
        <w:t>opyright Cochlear Limited</w:t>
      </w:r>
    </w:p>
    <w:p w14:paraId="67A4AC1F" w14:textId="77777777" w:rsidR="00871470" w:rsidRDefault="00871470" w:rsidP="00871470"/>
    <w:p w14:paraId="336C13FA" w14:textId="77777777" w:rsidR="00871470" w:rsidRDefault="00871470" w:rsidP="00871470"/>
    <w:p w14:paraId="54473B2E" w14:textId="77777777" w:rsidR="00871470" w:rsidRDefault="00871470" w:rsidP="00871470"/>
    <w:p w14:paraId="4BB639FD" w14:textId="77777777" w:rsidR="008B17F3"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p>
    <w:p w14:paraId="28DB766E" w14:textId="77777777" w:rsidR="008B17F3"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r>
        <w:rPr>
          <w:noProof/>
        </w:rPr>
        <w:drawing>
          <wp:inline distT="0" distB="0" distL="0" distR="0" wp14:anchorId="3F43E092" wp14:editId="2A0B14F6">
            <wp:extent cx="4800600" cy="1295400"/>
            <wp:effectExtent l="0" t="0" r="0" b="0"/>
            <wp:docPr id="15365"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Picture 6" descr="WHSSCoutlin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00600" cy="1295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14:paraId="065B136F" w14:textId="77777777" w:rsidR="008B17F3"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bCs/>
        </w:rPr>
      </w:pPr>
    </w:p>
    <w:p w14:paraId="6F054903" w14:textId="77777777" w:rsidR="007277DD" w:rsidRDefault="006750F9" w:rsidP="00663A71">
      <w:pPr>
        <w:pBdr>
          <w:top w:val="single" w:sz="4" w:space="1" w:color="auto"/>
          <w:left w:val="single" w:sz="4" w:space="4" w:color="auto"/>
          <w:bottom w:val="single" w:sz="4" w:space="1" w:color="auto"/>
          <w:right w:val="single" w:sz="4" w:space="4" w:color="auto"/>
        </w:pBdr>
        <w:jc w:val="center"/>
        <w:rPr>
          <w:rFonts w:ascii="Verdana" w:hAnsi="Verdana"/>
          <w:b/>
          <w:bCs/>
        </w:rPr>
      </w:pPr>
      <w:r>
        <w:rPr>
          <w:rFonts w:ascii="Verdana" w:hAnsi="Verdana"/>
          <w:b/>
          <w:bCs/>
        </w:rPr>
        <w:t xml:space="preserve">PROPOSED CHANGES TO THE </w:t>
      </w:r>
      <w:r w:rsidR="00A07412">
        <w:rPr>
          <w:rFonts w:ascii="Verdana" w:hAnsi="Verdana"/>
          <w:b/>
          <w:bCs/>
        </w:rPr>
        <w:t>SOUTH</w:t>
      </w:r>
      <w:r w:rsidR="007277DD">
        <w:rPr>
          <w:rFonts w:ascii="Verdana" w:hAnsi="Verdana"/>
          <w:b/>
          <w:bCs/>
        </w:rPr>
        <w:t xml:space="preserve"> </w:t>
      </w:r>
      <w:r w:rsidR="004F0440">
        <w:rPr>
          <w:rFonts w:ascii="Verdana" w:hAnsi="Verdana"/>
          <w:b/>
          <w:bCs/>
        </w:rPr>
        <w:t xml:space="preserve">EAST </w:t>
      </w:r>
      <w:r w:rsidR="007277DD">
        <w:rPr>
          <w:rFonts w:ascii="Verdana" w:hAnsi="Verdana"/>
          <w:b/>
          <w:bCs/>
        </w:rPr>
        <w:t>WALES</w:t>
      </w:r>
      <w:r w:rsidR="004F0440">
        <w:rPr>
          <w:rFonts w:ascii="Verdana" w:hAnsi="Verdana"/>
          <w:b/>
          <w:bCs/>
        </w:rPr>
        <w:t>, SOUTH WEST WALES AND SOUTH POWYS</w:t>
      </w:r>
      <w:r w:rsidR="007277DD">
        <w:rPr>
          <w:rFonts w:ascii="Verdana" w:hAnsi="Verdana"/>
          <w:b/>
          <w:bCs/>
        </w:rPr>
        <w:t xml:space="preserve"> COCHLEAR IMPLANT AND BONE CONDUCTION</w:t>
      </w:r>
      <w:r>
        <w:rPr>
          <w:rFonts w:ascii="Verdana" w:hAnsi="Verdana"/>
          <w:b/>
          <w:bCs/>
        </w:rPr>
        <w:t xml:space="preserve"> HEARING IMPLANT</w:t>
      </w:r>
      <w:r w:rsidR="007277DD">
        <w:rPr>
          <w:rFonts w:ascii="Verdana" w:hAnsi="Verdana"/>
          <w:b/>
          <w:bCs/>
        </w:rPr>
        <w:t xml:space="preserve"> (BCHI)</w:t>
      </w:r>
      <w:r>
        <w:rPr>
          <w:rFonts w:ascii="Verdana" w:hAnsi="Verdana"/>
          <w:b/>
          <w:bCs/>
        </w:rPr>
        <w:t xml:space="preserve"> </w:t>
      </w:r>
    </w:p>
    <w:p w14:paraId="38CEE111" w14:textId="77777777" w:rsidR="00A07412" w:rsidRDefault="006750F9" w:rsidP="00663A71">
      <w:pPr>
        <w:pBdr>
          <w:top w:val="single" w:sz="4" w:space="1" w:color="auto"/>
          <w:left w:val="single" w:sz="4" w:space="4" w:color="auto"/>
          <w:bottom w:val="single" w:sz="4" w:space="1" w:color="auto"/>
          <w:right w:val="single" w:sz="4" w:space="4" w:color="auto"/>
        </w:pBdr>
        <w:jc w:val="center"/>
        <w:rPr>
          <w:rFonts w:ascii="Verdana" w:hAnsi="Verdana"/>
          <w:b/>
          <w:bCs/>
        </w:rPr>
      </w:pPr>
      <w:r>
        <w:rPr>
          <w:rFonts w:ascii="Verdana" w:hAnsi="Verdana"/>
          <w:b/>
          <w:bCs/>
        </w:rPr>
        <w:t>DEVICE SERVICE</w:t>
      </w:r>
    </w:p>
    <w:p w14:paraId="739D0F15" w14:textId="77777777" w:rsidR="008B17F3" w:rsidRPr="000E117C"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rPr>
      </w:pPr>
    </w:p>
    <w:p w14:paraId="6B588486" w14:textId="77777777" w:rsidR="00A07412" w:rsidRDefault="00A07412" w:rsidP="00663A71">
      <w:pPr>
        <w:pBdr>
          <w:top w:val="single" w:sz="4" w:space="1" w:color="auto"/>
          <w:left w:val="single" w:sz="4" w:space="4" w:color="auto"/>
          <w:bottom w:val="single" w:sz="4" w:space="1" w:color="auto"/>
          <w:right w:val="single" w:sz="4" w:space="4" w:color="auto"/>
        </w:pBdr>
        <w:jc w:val="center"/>
        <w:rPr>
          <w:rFonts w:ascii="Verdana" w:hAnsi="Verdana"/>
          <w:b/>
        </w:rPr>
      </w:pPr>
      <w:r w:rsidRPr="000E117C">
        <w:rPr>
          <w:rFonts w:ascii="Verdana" w:hAnsi="Verdana"/>
          <w:b/>
        </w:rPr>
        <w:t>EQUALITY IMPACT ASSESSMENT (EIA)</w:t>
      </w:r>
    </w:p>
    <w:p w14:paraId="3DE0F819" w14:textId="77777777" w:rsidR="008B17F3"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rPr>
      </w:pPr>
    </w:p>
    <w:p w14:paraId="7A9AB4D0" w14:textId="77777777" w:rsidR="008B17F3" w:rsidRPr="000E117C" w:rsidRDefault="008B17F3" w:rsidP="00663A71">
      <w:pPr>
        <w:pBdr>
          <w:top w:val="single" w:sz="4" w:space="1" w:color="auto"/>
          <w:left w:val="single" w:sz="4" w:space="4" w:color="auto"/>
          <w:bottom w:val="single" w:sz="4" w:space="1" w:color="auto"/>
          <w:right w:val="single" w:sz="4" w:space="4" w:color="auto"/>
        </w:pBdr>
        <w:jc w:val="center"/>
        <w:rPr>
          <w:rFonts w:ascii="Verdana" w:hAnsi="Verdana"/>
          <w:b/>
        </w:rPr>
      </w:pPr>
    </w:p>
    <w:p w14:paraId="1C1798AF" w14:textId="77777777" w:rsidR="00A07412" w:rsidRPr="000E117C" w:rsidRDefault="00A07412" w:rsidP="00A07412">
      <w:pPr>
        <w:rPr>
          <w:rFonts w:ascii="Verdana" w:hAnsi="Verdana"/>
          <w:b/>
        </w:rPr>
      </w:pPr>
    </w:p>
    <w:p w14:paraId="504934A2" w14:textId="77777777" w:rsidR="00A07412" w:rsidRPr="000E117C" w:rsidRDefault="00A07412" w:rsidP="00A07412">
      <w:pPr>
        <w:rPr>
          <w:rFonts w:ascii="Verdana" w:hAnsi="Verdana"/>
          <w:b/>
        </w:rPr>
      </w:pPr>
    </w:p>
    <w:p w14:paraId="23751A7F" w14:textId="77777777" w:rsidR="00A07412" w:rsidRPr="000E117C" w:rsidRDefault="00A07412" w:rsidP="00A07412">
      <w:pPr>
        <w:numPr>
          <w:ilvl w:val="0"/>
          <w:numId w:val="1"/>
        </w:numPr>
        <w:rPr>
          <w:rFonts w:ascii="Verdana" w:hAnsi="Verdana" w:cs="Arial"/>
          <w:b/>
        </w:rPr>
      </w:pPr>
      <w:r w:rsidRPr="000E117C">
        <w:rPr>
          <w:rFonts w:ascii="Verdana" w:hAnsi="Verdana" w:cs="Arial"/>
          <w:b/>
        </w:rPr>
        <w:t>INTRODUCTION</w:t>
      </w:r>
    </w:p>
    <w:p w14:paraId="5E864656" w14:textId="77777777" w:rsidR="00043BF2" w:rsidRDefault="00043BF2" w:rsidP="001126D5">
      <w:pPr>
        <w:autoSpaceDE w:val="0"/>
        <w:autoSpaceDN w:val="0"/>
        <w:jc w:val="both"/>
        <w:rPr>
          <w:rFonts w:ascii="Verdana" w:hAnsi="Verdana"/>
        </w:rPr>
      </w:pPr>
    </w:p>
    <w:p w14:paraId="60454707" w14:textId="77777777" w:rsidR="00F41653" w:rsidRPr="00C81E33" w:rsidRDefault="00F41653" w:rsidP="001126D5">
      <w:pPr>
        <w:autoSpaceDE w:val="0"/>
        <w:autoSpaceDN w:val="0"/>
        <w:jc w:val="both"/>
        <w:rPr>
          <w:rFonts w:ascii="Verdana" w:hAnsi="Verdana"/>
          <w:color w:val="000000"/>
        </w:rPr>
      </w:pPr>
      <w:r w:rsidRPr="00C81E33">
        <w:rPr>
          <w:rFonts w:ascii="Verdana" w:hAnsi="Verdana"/>
          <w:color w:val="000000"/>
        </w:rPr>
        <w:t>In order to demonstrate that a public sector body has given due regard to the general duty, public sector bodies in Wales are required under the Welsh Public Sector Equality Duties to conduct an equality impact assessment (EIA) of their policies and service developments in order to assess the potential impact(s) upon people with protected characteristics.</w:t>
      </w:r>
    </w:p>
    <w:p w14:paraId="5CC2C610" w14:textId="77777777" w:rsidR="00043BF2" w:rsidRDefault="00043BF2" w:rsidP="001126D5">
      <w:pPr>
        <w:autoSpaceDE w:val="0"/>
        <w:autoSpaceDN w:val="0"/>
        <w:jc w:val="both"/>
        <w:rPr>
          <w:rFonts w:ascii="Verdana" w:hAnsi="Verdana"/>
        </w:rPr>
      </w:pPr>
    </w:p>
    <w:p w14:paraId="37352A95" w14:textId="77777777" w:rsidR="001126D5" w:rsidRDefault="00043BF2" w:rsidP="00043BF2">
      <w:pPr>
        <w:jc w:val="both"/>
        <w:rPr>
          <w:rFonts w:ascii="Verdana" w:hAnsi="Verdana"/>
          <w:color w:val="000000"/>
        </w:rPr>
      </w:pPr>
      <w:r w:rsidRPr="00043BF2">
        <w:rPr>
          <w:rFonts w:ascii="Verdana" w:hAnsi="Verdana"/>
          <w:color w:val="000000"/>
        </w:rPr>
        <w:t xml:space="preserve">Equality is about making sure people are treated fairly. It is not about treating ‘everyone the same’, but recognising that everyone’s needs are met in different ways. </w:t>
      </w:r>
      <w:r>
        <w:rPr>
          <w:rFonts w:ascii="Verdana" w:hAnsi="Verdana"/>
          <w:color w:val="000000"/>
        </w:rPr>
        <w:t xml:space="preserve"> </w:t>
      </w:r>
      <w:r w:rsidR="00A07412" w:rsidRPr="006750F9">
        <w:rPr>
          <w:rFonts w:ascii="Verdana" w:hAnsi="Verdana"/>
        </w:rPr>
        <w:t xml:space="preserve">As part of this duty, public sector bodies in Wales are required to publish an assessment of impact in order to be transparent and accountable i.e. their consideration of the effects that their decisions, policies or services have on people on the basis of their gender, race, disability, sexual orientation, religion or belief, and age, to include gender re-assignment, pregnancy and maternity, marriage and civil partnership issues. These are classed </w:t>
      </w:r>
      <w:r w:rsidR="00E656B0">
        <w:rPr>
          <w:rFonts w:ascii="Verdana" w:hAnsi="Verdana"/>
        </w:rPr>
        <w:t>as ‘protected characteristics’,</w:t>
      </w:r>
      <w:r w:rsidR="001126D5" w:rsidRPr="006750F9">
        <w:rPr>
          <w:rFonts w:ascii="Verdana" w:hAnsi="Verdana"/>
          <w:color w:val="000000"/>
        </w:rPr>
        <w:t xml:space="preserve"> it is relevant because people from within protected groups are more likely to experience it. </w:t>
      </w:r>
    </w:p>
    <w:p w14:paraId="0DAF56A5" w14:textId="77777777" w:rsidR="00043BF2" w:rsidRDefault="00043BF2" w:rsidP="00043BF2">
      <w:pPr>
        <w:jc w:val="both"/>
        <w:rPr>
          <w:rFonts w:ascii="Verdana" w:hAnsi="Verdana"/>
          <w:color w:val="000000"/>
        </w:rPr>
      </w:pPr>
    </w:p>
    <w:p w14:paraId="1A9BBA7B" w14:textId="77777777" w:rsidR="00043BF2" w:rsidRPr="005326CD" w:rsidRDefault="00043BF2" w:rsidP="00043BF2">
      <w:pPr>
        <w:jc w:val="both"/>
        <w:rPr>
          <w:rFonts w:ascii="Verdana" w:hAnsi="Verdana"/>
          <w:color w:val="000000"/>
        </w:rPr>
      </w:pPr>
      <w:r w:rsidRPr="005326CD">
        <w:rPr>
          <w:rFonts w:ascii="Verdana" w:hAnsi="Verdana"/>
          <w:color w:val="000000"/>
        </w:rPr>
        <w:t>In addition we recognise that Wales is a country with two official languages: Welsh and English. The importance of bilingual healthcare for all patients in Wales is fundamental and is particularly important for four key groups - people with mental health problems; those with learning disabilities; older people and young children. Research has shown these groups cannot be treated effectively except in their first language. Our consideration of equality takes account of this.</w:t>
      </w:r>
    </w:p>
    <w:p w14:paraId="634DBF8C" w14:textId="77777777" w:rsidR="00E656B0" w:rsidRDefault="00E656B0" w:rsidP="001B3708">
      <w:pPr>
        <w:jc w:val="both"/>
        <w:rPr>
          <w:rFonts w:ascii="Verdana" w:hAnsi="Verdana"/>
        </w:rPr>
      </w:pPr>
    </w:p>
    <w:p w14:paraId="38BA46E9" w14:textId="77777777" w:rsidR="00037896" w:rsidRDefault="00037896" w:rsidP="009B39FF">
      <w:pPr>
        <w:autoSpaceDE w:val="0"/>
        <w:autoSpaceDN w:val="0"/>
        <w:jc w:val="both"/>
        <w:rPr>
          <w:rFonts w:ascii="Verdana" w:hAnsi="Verdana"/>
        </w:rPr>
      </w:pPr>
      <w:r>
        <w:rPr>
          <w:rFonts w:ascii="Verdana" w:hAnsi="Verdana"/>
          <w:color w:val="000000"/>
        </w:rPr>
        <w:lastRenderedPageBreak/>
        <w:t>T</w:t>
      </w:r>
      <w:r w:rsidRPr="00F41653">
        <w:rPr>
          <w:rFonts w:ascii="Verdana" w:hAnsi="Verdana"/>
          <w:color w:val="000000"/>
        </w:rPr>
        <w:t xml:space="preserve">he equality </w:t>
      </w:r>
      <w:r>
        <w:rPr>
          <w:rFonts w:ascii="Verdana" w:hAnsi="Verdana"/>
          <w:color w:val="000000"/>
        </w:rPr>
        <w:t xml:space="preserve">impact assessment (EIA) requires us to consider how the </w:t>
      </w:r>
      <w:r w:rsidR="00E3565B">
        <w:rPr>
          <w:rFonts w:ascii="Verdana" w:hAnsi="Verdana"/>
          <w:color w:val="000000"/>
        </w:rPr>
        <w:t>proposed changes to the</w:t>
      </w:r>
      <w:r w:rsidR="00E3565B" w:rsidRPr="00F41653">
        <w:rPr>
          <w:rFonts w:ascii="Verdana" w:hAnsi="Verdana"/>
          <w:bCs/>
        </w:rPr>
        <w:t xml:space="preserve"> Cochlear Implant and </w:t>
      </w:r>
      <w:r w:rsidR="00E3565B">
        <w:rPr>
          <w:rFonts w:ascii="Verdana" w:hAnsi="Verdana"/>
          <w:bCs/>
        </w:rPr>
        <w:t xml:space="preserve">Bone Conduction Hearing Implant (BCHI) </w:t>
      </w:r>
      <w:r w:rsidR="00E3565B" w:rsidRPr="00F41653">
        <w:rPr>
          <w:rFonts w:ascii="Verdana" w:hAnsi="Verdana"/>
          <w:bCs/>
        </w:rPr>
        <w:t xml:space="preserve">Device Services </w:t>
      </w:r>
      <w:r w:rsidR="00E3565B" w:rsidRPr="00F41653">
        <w:rPr>
          <w:rFonts w:ascii="Verdana" w:hAnsi="Verdana" w:cs="Arial"/>
        </w:rPr>
        <w:t>in South</w:t>
      </w:r>
      <w:r w:rsidR="00E3565B">
        <w:rPr>
          <w:rFonts w:ascii="Verdana" w:hAnsi="Verdana" w:cs="Arial"/>
        </w:rPr>
        <w:t xml:space="preserve"> East</w:t>
      </w:r>
      <w:r w:rsidR="00E3565B" w:rsidRPr="00F41653">
        <w:rPr>
          <w:rFonts w:ascii="Verdana" w:hAnsi="Verdana" w:cs="Arial"/>
        </w:rPr>
        <w:t xml:space="preserve"> Wales</w:t>
      </w:r>
      <w:r w:rsidR="00E3565B">
        <w:rPr>
          <w:rFonts w:ascii="Verdana" w:hAnsi="Verdana" w:cs="Arial"/>
        </w:rPr>
        <w:t>, South West Wales and South Powys</w:t>
      </w:r>
      <w:r w:rsidR="00E3565B" w:rsidRPr="00F41653">
        <w:rPr>
          <w:rFonts w:ascii="Verdana" w:hAnsi="Verdana" w:cs="Arial"/>
        </w:rPr>
        <w:t>.</w:t>
      </w:r>
      <w:r w:rsidR="00B94373">
        <w:rPr>
          <w:rFonts w:ascii="Verdana" w:hAnsi="Verdana" w:cs="Arial"/>
        </w:rPr>
        <w:t xml:space="preserve"> </w:t>
      </w:r>
      <w:r w:rsidR="00E3565B">
        <w:rPr>
          <w:rFonts w:ascii="Verdana" w:hAnsi="Verdana" w:cs="Arial"/>
        </w:rPr>
        <w:t>(</w:t>
      </w:r>
      <w:proofErr w:type="gramStart"/>
      <w:r w:rsidR="00E3565B" w:rsidRPr="00EF33E7">
        <w:rPr>
          <w:rFonts w:ascii="Verdana" w:hAnsi="Verdana"/>
        </w:rPr>
        <w:t>note</w:t>
      </w:r>
      <w:proofErr w:type="gramEnd"/>
      <w:r w:rsidR="00E3565B">
        <w:rPr>
          <w:rFonts w:ascii="Verdana" w:hAnsi="Verdana"/>
        </w:rPr>
        <w:t>,</w:t>
      </w:r>
      <w:r w:rsidR="00E3565B" w:rsidRPr="00EF33E7">
        <w:rPr>
          <w:rFonts w:ascii="Verdana" w:hAnsi="Verdana"/>
        </w:rPr>
        <w:t xml:space="preserve"> many people also call a BCHI a Bone Anchored Hearing Aid (BAHA)</w:t>
      </w:r>
      <w:r>
        <w:rPr>
          <w:rFonts w:ascii="Verdana" w:hAnsi="Verdana"/>
        </w:rPr>
        <w:t xml:space="preserve"> may affect a range of people in different ways. </w:t>
      </w:r>
    </w:p>
    <w:p w14:paraId="5D3F2572" w14:textId="77777777" w:rsidR="009B39FF" w:rsidRPr="00037896" w:rsidRDefault="009B39FF" w:rsidP="009B39FF">
      <w:pPr>
        <w:autoSpaceDE w:val="0"/>
        <w:autoSpaceDN w:val="0"/>
        <w:jc w:val="both"/>
      </w:pPr>
    </w:p>
    <w:p w14:paraId="5A8C6738" w14:textId="77777777" w:rsidR="00037896" w:rsidRDefault="00037896" w:rsidP="00037896">
      <w:pPr>
        <w:jc w:val="both"/>
        <w:rPr>
          <w:rFonts w:ascii="Verdana" w:eastAsia="Arial" w:hAnsi="Verdana"/>
        </w:rPr>
      </w:pPr>
      <w:r>
        <w:rPr>
          <w:rFonts w:ascii="Verdana" w:eastAsia="Arial" w:hAnsi="Verdana"/>
        </w:rPr>
        <w:t>The EIA will help with answering the following questions:</w:t>
      </w:r>
    </w:p>
    <w:p w14:paraId="5760C342" w14:textId="77777777" w:rsidR="00037896" w:rsidRDefault="00037896" w:rsidP="00037896">
      <w:pPr>
        <w:jc w:val="both"/>
        <w:rPr>
          <w:rFonts w:ascii="Verdana" w:eastAsia="Arial" w:hAnsi="Verdana"/>
        </w:rPr>
      </w:pPr>
    </w:p>
    <w:p w14:paraId="362F94BE" w14:textId="77777777" w:rsidR="00037896" w:rsidRPr="00E1677F" w:rsidRDefault="00037896" w:rsidP="00037896">
      <w:pPr>
        <w:pStyle w:val="ListParagraph"/>
        <w:numPr>
          <w:ilvl w:val="0"/>
          <w:numId w:val="13"/>
        </w:numPr>
        <w:jc w:val="both"/>
        <w:rPr>
          <w:rFonts w:ascii="Verdana" w:eastAsia="Arial" w:hAnsi="Verdana"/>
        </w:rPr>
      </w:pPr>
      <w:r w:rsidRPr="00E1677F">
        <w:rPr>
          <w:rFonts w:ascii="Verdana" w:eastAsia="Arial" w:hAnsi="Verdana"/>
        </w:rPr>
        <w:t>Do different groups have different needs, experiences, issues and priorities in relation to the proposed service change?</w:t>
      </w:r>
    </w:p>
    <w:p w14:paraId="5A6A07BA" w14:textId="77777777" w:rsidR="00037896" w:rsidRDefault="00037896" w:rsidP="00037896">
      <w:pPr>
        <w:jc w:val="both"/>
        <w:rPr>
          <w:rFonts w:ascii="Verdana" w:eastAsia="Arial" w:hAnsi="Verdana"/>
        </w:rPr>
      </w:pPr>
    </w:p>
    <w:p w14:paraId="30B74815" w14:textId="77777777" w:rsidR="00037896" w:rsidRDefault="00037896" w:rsidP="00037896">
      <w:pPr>
        <w:pStyle w:val="ListParagraph"/>
        <w:numPr>
          <w:ilvl w:val="0"/>
          <w:numId w:val="13"/>
        </w:numPr>
        <w:jc w:val="both"/>
        <w:rPr>
          <w:rFonts w:ascii="Verdana" w:eastAsia="Arial" w:hAnsi="Verdana"/>
        </w:rPr>
      </w:pPr>
      <w:r w:rsidRPr="00E1677F">
        <w:rPr>
          <w:rFonts w:ascii="Verdana" w:eastAsia="Arial" w:hAnsi="Verdana"/>
        </w:rPr>
        <w:t>Will the proposed service change promote equality?</w:t>
      </w:r>
    </w:p>
    <w:p w14:paraId="02551B7C" w14:textId="77777777" w:rsidR="00037896" w:rsidRPr="00E1677F" w:rsidRDefault="00037896" w:rsidP="00037896">
      <w:pPr>
        <w:pStyle w:val="ListParagraph"/>
        <w:rPr>
          <w:rFonts w:ascii="Verdana" w:eastAsia="Arial" w:hAnsi="Verdana"/>
        </w:rPr>
      </w:pPr>
    </w:p>
    <w:p w14:paraId="160C0CF6" w14:textId="77777777" w:rsidR="00037896" w:rsidRDefault="00037896" w:rsidP="00037896">
      <w:pPr>
        <w:pStyle w:val="ListParagraph"/>
        <w:numPr>
          <w:ilvl w:val="0"/>
          <w:numId w:val="13"/>
        </w:numPr>
        <w:jc w:val="both"/>
        <w:rPr>
          <w:rFonts w:ascii="Verdana" w:eastAsia="Arial" w:hAnsi="Verdana"/>
        </w:rPr>
      </w:pPr>
      <w:r>
        <w:rPr>
          <w:rFonts w:ascii="Verdana" w:eastAsia="Arial" w:hAnsi="Verdana"/>
        </w:rPr>
        <w:t>Will the proposed service change affect different groups differently?</w:t>
      </w:r>
    </w:p>
    <w:p w14:paraId="6759F396" w14:textId="77777777" w:rsidR="00037896" w:rsidRPr="00E1677F" w:rsidRDefault="00037896" w:rsidP="00037896">
      <w:pPr>
        <w:pStyle w:val="ListParagraph"/>
        <w:rPr>
          <w:rFonts w:ascii="Verdana" w:eastAsia="Arial" w:hAnsi="Verdana"/>
        </w:rPr>
      </w:pPr>
    </w:p>
    <w:p w14:paraId="00E2B782" w14:textId="77777777" w:rsidR="00037896" w:rsidRPr="00866C2A" w:rsidRDefault="00037896" w:rsidP="00037896">
      <w:pPr>
        <w:pStyle w:val="ListParagraph"/>
        <w:numPr>
          <w:ilvl w:val="0"/>
          <w:numId w:val="13"/>
        </w:numPr>
        <w:jc w:val="both"/>
        <w:rPr>
          <w:rFonts w:ascii="Verdana" w:eastAsia="Arial" w:hAnsi="Verdana"/>
        </w:rPr>
      </w:pPr>
      <w:r>
        <w:rPr>
          <w:rFonts w:ascii="Verdana" w:eastAsia="Arial" w:hAnsi="Verdana"/>
        </w:rPr>
        <w:t>Is there evidence of negative impact and what alternatives are available?</w:t>
      </w:r>
    </w:p>
    <w:p w14:paraId="14A6ACED" w14:textId="77777777" w:rsidR="00037896" w:rsidRDefault="00037896" w:rsidP="00E3565B">
      <w:pPr>
        <w:autoSpaceDE w:val="0"/>
        <w:autoSpaceDN w:val="0"/>
        <w:jc w:val="both"/>
        <w:rPr>
          <w:rFonts w:ascii="Verdana" w:hAnsi="Verdana" w:cs="Arial"/>
        </w:rPr>
      </w:pPr>
    </w:p>
    <w:p w14:paraId="5944CA80" w14:textId="77777777" w:rsidR="00037896" w:rsidRPr="00F41653" w:rsidRDefault="00037896" w:rsidP="00E3565B">
      <w:pPr>
        <w:autoSpaceDE w:val="0"/>
        <w:autoSpaceDN w:val="0"/>
        <w:jc w:val="both"/>
        <w:rPr>
          <w:rFonts w:ascii="Verdana" w:hAnsi="Verdana" w:cs="Arial"/>
        </w:rPr>
      </w:pPr>
      <w:r>
        <w:rPr>
          <w:rFonts w:ascii="Verdana" w:hAnsi="Verdana" w:cs="Arial"/>
        </w:rPr>
        <w:t>The document is intended to describe our understanding in the EIA process of the likely impact on the relevant protected c</w:t>
      </w:r>
      <w:r w:rsidR="009B39FF">
        <w:rPr>
          <w:rFonts w:ascii="Verdana" w:hAnsi="Verdana" w:cs="Arial"/>
        </w:rPr>
        <w:t>haracteristics.</w:t>
      </w:r>
    </w:p>
    <w:p w14:paraId="3F198401" w14:textId="77777777" w:rsidR="00E3565B" w:rsidRDefault="00E3565B" w:rsidP="001B3708">
      <w:pPr>
        <w:jc w:val="both"/>
        <w:rPr>
          <w:rFonts w:ascii="Verdana" w:hAnsi="Verdana"/>
        </w:rPr>
      </w:pPr>
    </w:p>
    <w:p w14:paraId="50E9E0F2" w14:textId="77777777" w:rsidR="007E173A" w:rsidRDefault="007E173A" w:rsidP="00E656B0">
      <w:pPr>
        <w:jc w:val="both"/>
        <w:rPr>
          <w:rFonts w:ascii="Verdana" w:eastAsia="Arial" w:hAnsi="Verdana"/>
        </w:rPr>
      </w:pPr>
    </w:p>
    <w:p w14:paraId="376781CD" w14:textId="77777777" w:rsidR="006C7820" w:rsidRPr="00F2326E" w:rsidRDefault="006C7820" w:rsidP="006C7820">
      <w:pPr>
        <w:pStyle w:val="ListParagraph"/>
        <w:numPr>
          <w:ilvl w:val="0"/>
          <w:numId w:val="1"/>
        </w:numPr>
        <w:rPr>
          <w:b/>
        </w:rPr>
      </w:pPr>
      <w:r w:rsidRPr="00F2326E">
        <w:rPr>
          <w:rFonts w:ascii="Verdana" w:hAnsi="Verdana"/>
          <w:b/>
        </w:rPr>
        <w:t>THE DEMOGRAPHIC PROFILE</w:t>
      </w:r>
    </w:p>
    <w:p w14:paraId="18EB5FCE" w14:textId="77777777" w:rsidR="006C7820" w:rsidRDefault="006C7820" w:rsidP="006C7820">
      <w:pPr>
        <w:rPr>
          <w:b/>
        </w:rPr>
      </w:pPr>
    </w:p>
    <w:p w14:paraId="18C71C82" w14:textId="11159DDB" w:rsidR="00E3565B" w:rsidRDefault="00E3565B" w:rsidP="00E3565B">
      <w:pPr>
        <w:jc w:val="both"/>
        <w:rPr>
          <w:rFonts w:ascii="Verdana" w:eastAsia="Arial" w:hAnsi="Verdana"/>
        </w:rPr>
      </w:pPr>
      <w:r w:rsidRPr="00EC2916">
        <w:rPr>
          <w:rFonts w:ascii="Verdana" w:hAnsi="Verdana"/>
        </w:rPr>
        <w:t>Hearing loss affects over 10 million people across the United Kingdom</w:t>
      </w:r>
      <w:r w:rsidR="009434A6" w:rsidRPr="009434A6">
        <w:rPr>
          <w:rFonts w:ascii="Verdana" w:eastAsia="Arial" w:hAnsi="Verdana"/>
        </w:rPr>
        <w:t xml:space="preserve"> </w:t>
      </w:r>
      <w:r w:rsidR="009434A6">
        <w:rPr>
          <w:rFonts w:ascii="Verdana" w:eastAsia="Arial" w:hAnsi="Verdana"/>
        </w:rPr>
        <w:t>(</w:t>
      </w:r>
      <w:r w:rsidR="009434A6" w:rsidRPr="00B5229E">
        <w:rPr>
          <w:rFonts w:ascii="Verdana" w:eastAsia="Arial" w:hAnsi="Verdana"/>
        </w:rPr>
        <w:t>approximately one in seven of the population</w:t>
      </w:r>
      <w:r w:rsidR="009434A6">
        <w:rPr>
          <w:rFonts w:ascii="Verdana" w:eastAsia="Arial" w:hAnsi="Verdana"/>
        </w:rPr>
        <w:t>)</w:t>
      </w:r>
      <w:r w:rsidR="009434A6">
        <w:rPr>
          <w:rFonts w:ascii="Verdana" w:hAnsi="Verdana"/>
        </w:rPr>
        <w:t>,</w:t>
      </w:r>
      <w:r w:rsidRPr="00EC2916">
        <w:rPr>
          <w:rFonts w:ascii="Verdana" w:hAnsi="Verdana" w:cs="Arial"/>
          <w:color w:val="333333"/>
          <w:shd w:val="clear" w:color="auto" w:fill="FFFFFF"/>
        </w:rPr>
        <w:t xml:space="preserve"> which makes it the second most common disability in the UK.</w:t>
      </w:r>
      <w:r w:rsidRPr="00B5229E">
        <w:rPr>
          <w:rFonts w:ascii="Verdana" w:hAnsi="Verdana"/>
        </w:rPr>
        <w:t xml:space="preserve"> It can lead to significant health and mental health issues</w:t>
      </w:r>
      <w:r w:rsidR="009434A6">
        <w:rPr>
          <w:rFonts w:ascii="Verdana" w:hAnsi="Verdana"/>
        </w:rPr>
        <w:t>, and incidence increases</w:t>
      </w:r>
      <w:r w:rsidRPr="00B5229E">
        <w:rPr>
          <w:rFonts w:ascii="Verdana" w:eastAsia="Arial" w:hAnsi="Verdana"/>
        </w:rPr>
        <w:t xml:space="preserve"> steeply with age.</w:t>
      </w:r>
    </w:p>
    <w:p w14:paraId="15F80E31" w14:textId="5323A878" w:rsidR="006C7820" w:rsidRDefault="006C7820" w:rsidP="006C7820">
      <w:pPr>
        <w:jc w:val="both"/>
        <w:rPr>
          <w:rFonts w:ascii="Verdana" w:hAnsi="Verdana"/>
          <w:color w:val="000000"/>
        </w:rPr>
      </w:pPr>
      <w:r>
        <w:rPr>
          <w:rFonts w:ascii="Verdana" w:hAnsi="Verdana"/>
          <w:color w:val="000000"/>
        </w:rPr>
        <w:t>In people over the age of 50, at least 40% have some form of hearing loss and this rises to around 70% in adults over 70</w:t>
      </w:r>
      <w:r>
        <w:rPr>
          <w:rStyle w:val="FootnoteReference"/>
          <w:rFonts w:ascii="Verdana" w:hAnsi="Verdana"/>
          <w:color w:val="000000"/>
        </w:rPr>
        <w:footnoteReference w:id="1"/>
      </w:r>
      <w:r>
        <w:rPr>
          <w:rFonts w:ascii="Verdana" w:hAnsi="Verdana"/>
          <w:color w:val="000000"/>
        </w:rPr>
        <w:t>.</w:t>
      </w:r>
      <w:r w:rsidR="00E46CDA">
        <w:rPr>
          <w:rFonts w:ascii="Verdana" w:hAnsi="Verdana"/>
          <w:color w:val="000000"/>
        </w:rPr>
        <w:t xml:space="preserve"> </w:t>
      </w:r>
      <w:r>
        <w:rPr>
          <w:rFonts w:ascii="Verdana" w:hAnsi="Verdana"/>
          <w:color w:val="000000"/>
        </w:rPr>
        <w:t>900,000 are classed as severe to profoundly deaf. There are around 50,000 children in the UK with hearing loss and half that number are born with it.</w:t>
      </w:r>
    </w:p>
    <w:p w14:paraId="684539A0" w14:textId="77777777" w:rsidR="006C7820" w:rsidRDefault="006C7820" w:rsidP="006C7820">
      <w:pPr>
        <w:jc w:val="both"/>
        <w:rPr>
          <w:rFonts w:ascii="Verdana" w:hAnsi="Verdana"/>
          <w:color w:val="000000"/>
        </w:rPr>
      </w:pPr>
    </w:p>
    <w:p w14:paraId="42C0A86F" w14:textId="72D26DD8" w:rsidR="006C7820" w:rsidRPr="00EF33E7" w:rsidRDefault="006C7820" w:rsidP="006C7820">
      <w:pPr>
        <w:jc w:val="both"/>
        <w:rPr>
          <w:rFonts w:ascii="Verdana" w:eastAsia="Arial" w:hAnsi="Verdana"/>
        </w:rPr>
      </w:pPr>
      <w:r w:rsidRPr="00EF33E7">
        <w:rPr>
          <w:rFonts w:ascii="Verdana" w:hAnsi="Verdana" w:cs="Arial"/>
          <w:shd w:val="clear" w:color="auto" w:fill="FFFFFF"/>
        </w:rPr>
        <w:t xml:space="preserve">Action on Hearing Loss </w:t>
      </w:r>
      <w:r w:rsidR="009434A6">
        <w:rPr>
          <w:rFonts w:ascii="Verdana" w:hAnsi="Verdana" w:cs="Arial"/>
          <w:shd w:val="clear" w:color="auto" w:fill="FFFFFF"/>
        </w:rPr>
        <w:t>further indicate that</w:t>
      </w:r>
      <w:r w:rsidRPr="00EF33E7">
        <w:rPr>
          <w:rFonts w:ascii="Verdana" w:hAnsi="Verdana" w:cs="Arial"/>
          <w:shd w:val="clear" w:color="auto" w:fill="FFFFFF"/>
        </w:rPr>
        <w:t xml:space="preserve"> there are around 575,500 deaf and hard of hearing people in Wales</w:t>
      </w:r>
      <w:r w:rsidRPr="00EF33E7">
        <w:rPr>
          <w:rStyle w:val="FootnoteReference"/>
          <w:rFonts w:ascii="Verdana" w:hAnsi="Verdana" w:cs="Arial"/>
          <w:shd w:val="clear" w:color="auto" w:fill="FFFFFF"/>
        </w:rPr>
        <w:footnoteReference w:id="2"/>
      </w:r>
      <w:r w:rsidRPr="00EF33E7">
        <w:rPr>
          <w:rFonts w:ascii="Verdana" w:hAnsi="Verdana" w:cs="Arial"/>
          <w:shd w:val="clear" w:color="auto" w:fill="FFFFFF"/>
        </w:rPr>
        <w:t>. In 2018 the total number of deaf children in Wales was 2,625.</w:t>
      </w:r>
    </w:p>
    <w:p w14:paraId="740A8715" w14:textId="77777777" w:rsidR="00E47934" w:rsidRDefault="00E47934" w:rsidP="00E656B0">
      <w:pPr>
        <w:jc w:val="both"/>
        <w:rPr>
          <w:rFonts w:ascii="Verdana" w:eastAsia="Arial" w:hAnsi="Verdana"/>
        </w:rPr>
      </w:pPr>
    </w:p>
    <w:p w14:paraId="38E3B833" w14:textId="1E69827B" w:rsidR="00E47934" w:rsidRDefault="001E0A30" w:rsidP="006C7820">
      <w:pPr>
        <w:pStyle w:val="ListParagraph"/>
        <w:numPr>
          <w:ilvl w:val="0"/>
          <w:numId w:val="1"/>
        </w:numPr>
        <w:jc w:val="both"/>
        <w:rPr>
          <w:rFonts w:ascii="Verdana" w:eastAsia="Arial" w:hAnsi="Verdana"/>
          <w:b/>
        </w:rPr>
      </w:pPr>
      <w:r>
        <w:rPr>
          <w:rFonts w:ascii="Verdana" w:eastAsia="Arial" w:hAnsi="Verdana"/>
        </w:rPr>
        <w:tab/>
      </w:r>
      <w:r w:rsidR="006C7820" w:rsidRPr="006C7820">
        <w:rPr>
          <w:rFonts w:ascii="Verdana" w:eastAsia="Arial" w:hAnsi="Verdana"/>
          <w:b/>
        </w:rPr>
        <w:t>BACKGROUND</w:t>
      </w:r>
      <w:r w:rsidR="006C7820">
        <w:rPr>
          <w:rFonts w:ascii="Verdana" w:eastAsia="Arial" w:hAnsi="Verdana"/>
          <w:b/>
        </w:rPr>
        <w:t xml:space="preserve"> AND RATIONALE</w:t>
      </w:r>
    </w:p>
    <w:p w14:paraId="131E5445" w14:textId="77777777" w:rsidR="00EF33E7" w:rsidRPr="006C7820" w:rsidRDefault="00EF33E7" w:rsidP="00EF33E7">
      <w:pPr>
        <w:pStyle w:val="ListParagraph"/>
        <w:ind w:left="360"/>
        <w:jc w:val="both"/>
        <w:rPr>
          <w:rFonts w:ascii="Verdana" w:eastAsia="Arial" w:hAnsi="Verdana"/>
          <w:b/>
        </w:rPr>
      </w:pPr>
    </w:p>
    <w:p w14:paraId="0D93A972" w14:textId="1B146457" w:rsidR="009B39FF" w:rsidRDefault="00EF33E7" w:rsidP="009B39FF">
      <w:pPr>
        <w:jc w:val="both"/>
        <w:rPr>
          <w:rFonts w:ascii="Verdana" w:hAnsi="Verdana"/>
        </w:rPr>
      </w:pPr>
      <w:r w:rsidRPr="009B39FF">
        <w:rPr>
          <w:rFonts w:ascii="Verdana" w:hAnsi="Verdana"/>
        </w:rPr>
        <w:t>Many people in Wales experience hearing loss.</w:t>
      </w:r>
      <w:r w:rsidRPr="009B39FF">
        <w:rPr>
          <w:rFonts w:ascii="Verdana" w:hAnsi="Verdana"/>
          <w:spacing w:val="40"/>
        </w:rPr>
        <w:t xml:space="preserve"> </w:t>
      </w:r>
      <w:r w:rsidRPr="009B39FF">
        <w:rPr>
          <w:rFonts w:ascii="Verdana" w:hAnsi="Verdana"/>
        </w:rPr>
        <w:t>Health Boards in South East Wales, South West Wales, and South Powys have been working together to identify the best way to deliver an implantable hearing device service in South Wales.</w:t>
      </w:r>
      <w:r w:rsidR="009B39FF">
        <w:rPr>
          <w:rFonts w:ascii="Verdana" w:hAnsi="Verdana"/>
        </w:rPr>
        <w:t xml:space="preserve"> </w:t>
      </w:r>
      <w:r w:rsidR="009B39FF" w:rsidRPr="009B39FF">
        <w:rPr>
          <w:rFonts w:ascii="Verdana" w:hAnsi="Verdana"/>
        </w:rPr>
        <w:t xml:space="preserve">These services currently include the Cochlear Implant service </w:t>
      </w:r>
      <w:r w:rsidR="009B39FF" w:rsidRPr="009B39FF">
        <w:rPr>
          <w:rFonts w:ascii="Verdana" w:hAnsi="Verdana"/>
        </w:rPr>
        <w:lastRenderedPageBreak/>
        <w:t>and the Bone Conduction Hearing Implant service (BCHI)</w:t>
      </w:r>
      <w:r w:rsidR="001E0A30">
        <w:rPr>
          <w:rFonts w:ascii="Verdana" w:hAnsi="Verdana"/>
        </w:rPr>
        <w:t xml:space="preserve">.  (Some people call a BCHI a BAHA).  </w:t>
      </w:r>
    </w:p>
    <w:p w14:paraId="74D82DBD" w14:textId="77777777" w:rsidR="009B39FF" w:rsidRDefault="009B39FF" w:rsidP="009B39FF">
      <w:pPr>
        <w:jc w:val="both"/>
        <w:rPr>
          <w:rFonts w:ascii="Verdana" w:hAnsi="Verdana"/>
        </w:rPr>
      </w:pPr>
    </w:p>
    <w:p w14:paraId="245F95C3" w14:textId="77777777" w:rsidR="009B39FF" w:rsidRPr="009B39FF" w:rsidRDefault="009B39FF" w:rsidP="009B39FF">
      <w:pPr>
        <w:jc w:val="both"/>
        <w:rPr>
          <w:rFonts w:ascii="Verdana" w:hAnsi="Verdana"/>
        </w:rPr>
      </w:pPr>
      <w:r w:rsidRPr="009B39FF">
        <w:rPr>
          <w:rFonts w:ascii="Verdana" w:hAnsi="Verdana"/>
        </w:rPr>
        <w:t>The reason</w:t>
      </w:r>
      <w:r w:rsidRPr="009B39FF">
        <w:rPr>
          <w:rFonts w:ascii="Verdana" w:hAnsi="Verdana"/>
          <w:spacing w:val="-5"/>
        </w:rPr>
        <w:t xml:space="preserve"> for the proposed changes is that</w:t>
      </w:r>
      <w:r w:rsidRPr="009B39FF">
        <w:rPr>
          <w:rFonts w:ascii="Verdana" w:hAnsi="Verdana"/>
        </w:rPr>
        <w:t xml:space="preserve"> urgent temporary service change arrangements for the Cochlear Implant service located in the Princess of Wales Hospital, Bridgend have been in place since September 2019. The patients previously seen at the Princess of Wales Hospital in Bridgend are currently seen in the University Hospital of Wales</w:t>
      </w:r>
      <w:r>
        <w:rPr>
          <w:rFonts w:ascii="Verdana" w:hAnsi="Verdana"/>
        </w:rPr>
        <w:t>, Cardiff</w:t>
      </w:r>
      <w:r w:rsidR="0023656D">
        <w:rPr>
          <w:rFonts w:ascii="Verdana" w:hAnsi="Verdana"/>
        </w:rPr>
        <w:t>.</w:t>
      </w:r>
      <w:r>
        <w:rPr>
          <w:rFonts w:ascii="Verdana" w:hAnsi="Verdana"/>
        </w:rPr>
        <w:t xml:space="preserve"> </w:t>
      </w:r>
    </w:p>
    <w:p w14:paraId="0201151D" w14:textId="77777777" w:rsidR="009B39FF" w:rsidRDefault="009B39FF" w:rsidP="009B39FF">
      <w:pPr>
        <w:ind w:left="360"/>
        <w:jc w:val="both"/>
        <w:rPr>
          <w:sz w:val="28"/>
          <w:szCs w:val="28"/>
        </w:rPr>
      </w:pPr>
    </w:p>
    <w:p w14:paraId="7E93A0A5" w14:textId="762D699D" w:rsidR="009B39FF" w:rsidRPr="009B39FF" w:rsidRDefault="009434A6" w:rsidP="009B39FF">
      <w:pPr>
        <w:jc w:val="both"/>
        <w:rPr>
          <w:rFonts w:ascii="Verdana" w:hAnsi="Verdana"/>
        </w:rPr>
      </w:pPr>
      <w:r>
        <w:rPr>
          <w:rFonts w:ascii="Verdana" w:hAnsi="Verdana"/>
        </w:rPr>
        <w:t xml:space="preserve">As the service commissioner, the </w:t>
      </w:r>
      <w:r w:rsidR="009B39FF" w:rsidRPr="009B39FF">
        <w:rPr>
          <w:rFonts w:ascii="Verdana" w:hAnsi="Verdana"/>
        </w:rPr>
        <w:t xml:space="preserve">Welsh Health Specialised Services </w:t>
      </w:r>
      <w:r w:rsidRPr="009B39FF">
        <w:rPr>
          <w:rFonts w:ascii="Verdana" w:hAnsi="Verdana"/>
        </w:rPr>
        <w:t>C</w:t>
      </w:r>
      <w:r>
        <w:rPr>
          <w:rFonts w:ascii="Verdana" w:hAnsi="Verdana"/>
        </w:rPr>
        <w:t>ommittee</w:t>
      </w:r>
      <w:r w:rsidRPr="009B39FF">
        <w:rPr>
          <w:rFonts w:ascii="Verdana" w:hAnsi="Verdana"/>
        </w:rPr>
        <w:t xml:space="preserve"> </w:t>
      </w:r>
      <w:r w:rsidR="009B39FF" w:rsidRPr="009B39FF">
        <w:rPr>
          <w:rFonts w:ascii="Verdana" w:hAnsi="Verdana"/>
        </w:rPr>
        <w:t xml:space="preserve">(WHSSC) </w:t>
      </w:r>
      <w:r w:rsidR="0023656D" w:rsidRPr="009B39FF">
        <w:rPr>
          <w:rFonts w:ascii="Verdana" w:hAnsi="Verdana"/>
        </w:rPr>
        <w:t>would like to get th</w:t>
      </w:r>
      <w:r w:rsidR="0023656D">
        <w:rPr>
          <w:rFonts w:ascii="Verdana" w:hAnsi="Verdana"/>
        </w:rPr>
        <w:t>em to a more permanent position</w:t>
      </w:r>
      <w:r w:rsidR="002927B7">
        <w:rPr>
          <w:rFonts w:ascii="Verdana" w:hAnsi="Verdana"/>
        </w:rPr>
        <w:t>,</w:t>
      </w:r>
      <w:r w:rsidR="0023656D">
        <w:rPr>
          <w:rFonts w:ascii="Verdana" w:hAnsi="Verdana"/>
        </w:rPr>
        <w:t xml:space="preserve"> and </w:t>
      </w:r>
      <w:r w:rsidR="009B39FF" w:rsidRPr="009B39FF">
        <w:rPr>
          <w:rFonts w:ascii="Verdana" w:hAnsi="Verdana"/>
        </w:rPr>
        <w:t>has worked with c</w:t>
      </w:r>
      <w:r w:rsidR="003E3E7A">
        <w:rPr>
          <w:rFonts w:ascii="Verdana" w:hAnsi="Verdana"/>
        </w:rPr>
        <w:t>ol</w:t>
      </w:r>
      <w:r w:rsidR="009B39FF" w:rsidRPr="009B39FF">
        <w:rPr>
          <w:rFonts w:ascii="Verdana" w:hAnsi="Verdana"/>
        </w:rPr>
        <w:t xml:space="preserve">leagues from across South East Wales, South West Wales, and South Powys to consider how </w:t>
      </w:r>
      <w:r w:rsidR="002927B7">
        <w:rPr>
          <w:rFonts w:ascii="Verdana" w:hAnsi="Verdana"/>
        </w:rPr>
        <w:t>to</w:t>
      </w:r>
      <w:r w:rsidR="009B39FF" w:rsidRPr="009B39FF">
        <w:rPr>
          <w:rFonts w:ascii="Verdana" w:hAnsi="Verdana"/>
        </w:rPr>
        <w:t xml:space="preserve"> deliver a safe and sustainable hearing implant devices service for adults and children that meets published national standards and guidance. Services for patients living in North Wales and North Powys are not included in this work.  </w:t>
      </w:r>
    </w:p>
    <w:p w14:paraId="0086D31B" w14:textId="77777777" w:rsidR="00EF33E7" w:rsidRDefault="00EF33E7" w:rsidP="00E656B0">
      <w:pPr>
        <w:jc w:val="both"/>
        <w:rPr>
          <w:rFonts w:ascii="Verdana" w:eastAsia="Arial" w:hAnsi="Verdana"/>
        </w:rPr>
      </w:pPr>
    </w:p>
    <w:p w14:paraId="4F5D7246" w14:textId="77777777" w:rsidR="003A2F43" w:rsidRPr="003A2F43" w:rsidRDefault="00443AC5" w:rsidP="003A2F43">
      <w:pPr>
        <w:pStyle w:val="NormalWeb"/>
        <w:numPr>
          <w:ilvl w:val="0"/>
          <w:numId w:val="1"/>
        </w:numPr>
        <w:jc w:val="both"/>
        <w:rPr>
          <w:rFonts w:ascii="Verdana" w:hAnsi="Verdana"/>
          <w:b/>
          <w:color w:val="000000"/>
        </w:rPr>
      </w:pPr>
      <w:r>
        <w:rPr>
          <w:rFonts w:ascii="Verdana" w:hAnsi="Verdana"/>
          <w:b/>
          <w:color w:val="000000"/>
        </w:rPr>
        <w:t>CURRENT SERVICE PROVISION</w:t>
      </w:r>
      <w:r w:rsidRPr="003A2F43">
        <w:rPr>
          <w:rFonts w:ascii="Verdana" w:hAnsi="Verdana"/>
          <w:b/>
          <w:color w:val="000000"/>
        </w:rPr>
        <w:t xml:space="preserve"> </w:t>
      </w:r>
    </w:p>
    <w:p w14:paraId="4EF5BB80" w14:textId="77777777" w:rsidR="0023656D" w:rsidRPr="0023656D" w:rsidRDefault="0023656D" w:rsidP="0023656D">
      <w:pPr>
        <w:pStyle w:val="BodyText"/>
        <w:spacing w:before="273"/>
        <w:jc w:val="both"/>
        <w:rPr>
          <w:spacing w:val="-2"/>
          <w:sz w:val="24"/>
          <w:szCs w:val="24"/>
        </w:rPr>
      </w:pPr>
      <w:r w:rsidRPr="0023656D">
        <w:rPr>
          <w:sz w:val="24"/>
          <w:szCs w:val="24"/>
        </w:rPr>
        <w:t>There</w:t>
      </w:r>
      <w:r w:rsidRPr="0023656D">
        <w:rPr>
          <w:spacing w:val="-6"/>
          <w:sz w:val="24"/>
          <w:szCs w:val="24"/>
        </w:rPr>
        <w:t xml:space="preserve"> </w:t>
      </w:r>
      <w:r w:rsidRPr="0023656D">
        <w:rPr>
          <w:sz w:val="24"/>
          <w:szCs w:val="24"/>
        </w:rPr>
        <w:t>are</w:t>
      </w:r>
      <w:r w:rsidRPr="0023656D">
        <w:rPr>
          <w:spacing w:val="-3"/>
          <w:sz w:val="24"/>
          <w:szCs w:val="24"/>
        </w:rPr>
        <w:t xml:space="preserve"> </w:t>
      </w:r>
      <w:r w:rsidRPr="0023656D">
        <w:rPr>
          <w:sz w:val="24"/>
          <w:szCs w:val="24"/>
        </w:rPr>
        <w:t>two</w:t>
      </w:r>
      <w:r w:rsidRPr="0023656D">
        <w:rPr>
          <w:spacing w:val="-5"/>
          <w:sz w:val="24"/>
          <w:szCs w:val="24"/>
        </w:rPr>
        <w:t xml:space="preserve"> </w:t>
      </w:r>
      <w:r w:rsidRPr="0023656D">
        <w:rPr>
          <w:sz w:val="24"/>
          <w:szCs w:val="24"/>
        </w:rPr>
        <w:t>specialist</w:t>
      </w:r>
      <w:r w:rsidRPr="0023656D">
        <w:rPr>
          <w:spacing w:val="-4"/>
          <w:sz w:val="24"/>
          <w:szCs w:val="24"/>
        </w:rPr>
        <w:t xml:space="preserve"> </w:t>
      </w:r>
      <w:proofErr w:type="spellStart"/>
      <w:r w:rsidRPr="0023656D">
        <w:rPr>
          <w:sz w:val="24"/>
          <w:szCs w:val="24"/>
        </w:rPr>
        <w:t>centres</w:t>
      </w:r>
      <w:proofErr w:type="spellEnd"/>
      <w:r w:rsidRPr="0023656D">
        <w:rPr>
          <w:spacing w:val="-6"/>
          <w:sz w:val="24"/>
          <w:szCs w:val="24"/>
        </w:rPr>
        <w:t xml:space="preserve"> </w:t>
      </w:r>
      <w:r w:rsidRPr="0023656D">
        <w:rPr>
          <w:sz w:val="24"/>
          <w:szCs w:val="24"/>
        </w:rPr>
        <w:t>for</w:t>
      </w:r>
      <w:r w:rsidRPr="0023656D">
        <w:rPr>
          <w:spacing w:val="-4"/>
          <w:sz w:val="24"/>
          <w:szCs w:val="24"/>
        </w:rPr>
        <w:t xml:space="preserve"> </w:t>
      </w:r>
      <w:r w:rsidRPr="0023656D">
        <w:rPr>
          <w:sz w:val="24"/>
          <w:szCs w:val="24"/>
        </w:rPr>
        <w:t>Cochlear Implant</w:t>
      </w:r>
      <w:r w:rsidRPr="0023656D">
        <w:rPr>
          <w:spacing w:val="-5"/>
          <w:sz w:val="24"/>
          <w:szCs w:val="24"/>
        </w:rPr>
        <w:t xml:space="preserve"> </w:t>
      </w:r>
      <w:r w:rsidRPr="0023656D">
        <w:rPr>
          <w:spacing w:val="-2"/>
          <w:sz w:val="24"/>
          <w:szCs w:val="24"/>
        </w:rPr>
        <w:t>services in South Wales:</w:t>
      </w:r>
    </w:p>
    <w:p w14:paraId="4426FB29" w14:textId="77777777" w:rsidR="007277DD" w:rsidRPr="007277DD" w:rsidRDefault="003A2F43" w:rsidP="007277DD">
      <w:pPr>
        <w:pStyle w:val="ListParagraph"/>
        <w:numPr>
          <w:ilvl w:val="0"/>
          <w:numId w:val="9"/>
        </w:numPr>
        <w:jc w:val="both"/>
        <w:rPr>
          <w:rFonts w:ascii="Verdana" w:hAnsi="Verdana"/>
        </w:rPr>
      </w:pPr>
      <w:r w:rsidRPr="007277DD">
        <w:rPr>
          <w:rFonts w:ascii="Verdana" w:hAnsi="Verdana"/>
        </w:rPr>
        <w:t>Universi</w:t>
      </w:r>
      <w:r w:rsidR="007277DD">
        <w:rPr>
          <w:rFonts w:ascii="Verdana" w:hAnsi="Verdana"/>
        </w:rPr>
        <w:t>ty Hospital of Wales</w:t>
      </w:r>
      <w:r w:rsidR="00E30524">
        <w:rPr>
          <w:rFonts w:ascii="Verdana" w:hAnsi="Verdana"/>
        </w:rPr>
        <w:t>,</w:t>
      </w:r>
      <w:r w:rsidR="007277DD">
        <w:rPr>
          <w:rFonts w:ascii="Verdana" w:hAnsi="Verdana"/>
        </w:rPr>
        <w:t xml:space="preserve"> Cardiff</w:t>
      </w:r>
      <w:r w:rsidR="00C0178A">
        <w:rPr>
          <w:rFonts w:ascii="Verdana" w:hAnsi="Verdana"/>
        </w:rPr>
        <w:t xml:space="preserve"> and Vale University Health Board</w:t>
      </w:r>
      <w:r w:rsidRPr="007277DD">
        <w:rPr>
          <w:rFonts w:ascii="Verdana" w:hAnsi="Verdana"/>
        </w:rPr>
        <w:t xml:space="preserve"> </w:t>
      </w:r>
      <w:r w:rsidR="005326CD" w:rsidRPr="007277DD">
        <w:rPr>
          <w:rFonts w:ascii="Verdana" w:hAnsi="Verdana"/>
        </w:rPr>
        <w:t xml:space="preserve"> </w:t>
      </w:r>
    </w:p>
    <w:p w14:paraId="267E2FAF" w14:textId="77777777" w:rsidR="007277DD" w:rsidRDefault="00F43133" w:rsidP="007277DD">
      <w:pPr>
        <w:pStyle w:val="ListParagraph"/>
        <w:numPr>
          <w:ilvl w:val="0"/>
          <w:numId w:val="9"/>
        </w:numPr>
        <w:jc w:val="both"/>
        <w:rPr>
          <w:rFonts w:ascii="Verdana" w:hAnsi="Verdana"/>
        </w:rPr>
      </w:pPr>
      <w:r w:rsidRPr="007277DD">
        <w:rPr>
          <w:rFonts w:ascii="Verdana" w:hAnsi="Verdana"/>
        </w:rPr>
        <w:t>Princess of Wales H</w:t>
      </w:r>
      <w:r w:rsidR="00C0178A">
        <w:rPr>
          <w:rFonts w:ascii="Verdana" w:hAnsi="Verdana"/>
        </w:rPr>
        <w:t>ospital, Bridgend, Cwm Taf Morgannwg University Health Board</w:t>
      </w:r>
      <w:r w:rsidR="003A2F43" w:rsidRPr="007277DD">
        <w:rPr>
          <w:rFonts w:ascii="Verdana" w:hAnsi="Verdana"/>
        </w:rPr>
        <w:t xml:space="preserve">  </w:t>
      </w:r>
    </w:p>
    <w:p w14:paraId="51F8139B" w14:textId="77777777" w:rsidR="0023656D" w:rsidRPr="0023656D" w:rsidRDefault="0023656D" w:rsidP="0023656D">
      <w:pPr>
        <w:pStyle w:val="BodyText"/>
        <w:spacing w:before="160" w:line="256" w:lineRule="auto"/>
        <w:ind w:right="293"/>
        <w:jc w:val="both"/>
        <w:rPr>
          <w:sz w:val="24"/>
          <w:szCs w:val="24"/>
        </w:rPr>
      </w:pPr>
      <w:r w:rsidRPr="0023656D">
        <w:rPr>
          <w:sz w:val="24"/>
          <w:szCs w:val="24"/>
        </w:rPr>
        <w:t xml:space="preserve">There are three </w:t>
      </w:r>
      <w:proofErr w:type="spellStart"/>
      <w:r w:rsidRPr="0023656D">
        <w:rPr>
          <w:sz w:val="24"/>
          <w:szCs w:val="24"/>
        </w:rPr>
        <w:t>centres</w:t>
      </w:r>
      <w:proofErr w:type="spellEnd"/>
      <w:r w:rsidRPr="0023656D">
        <w:rPr>
          <w:sz w:val="24"/>
          <w:szCs w:val="24"/>
        </w:rPr>
        <w:t xml:space="preserve"> delivering the Bone Conduction Hearing Implant (BCHI) Service. </w:t>
      </w:r>
    </w:p>
    <w:p w14:paraId="351502A4" w14:textId="77777777" w:rsidR="00C0178A" w:rsidRPr="00C0178A" w:rsidRDefault="00C0178A" w:rsidP="00C0178A">
      <w:pPr>
        <w:pStyle w:val="ListParagraph"/>
        <w:numPr>
          <w:ilvl w:val="0"/>
          <w:numId w:val="10"/>
        </w:numPr>
        <w:jc w:val="both"/>
        <w:rPr>
          <w:rFonts w:ascii="Verdana" w:hAnsi="Verdana"/>
        </w:rPr>
      </w:pPr>
      <w:r w:rsidRPr="00C0178A">
        <w:rPr>
          <w:rFonts w:ascii="Verdana" w:hAnsi="Verdana"/>
        </w:rPr>
        <w:t>Neath Port Talbot Hospital,</w:t>
      </w:r>
      <w:r w:rsidR="0004202E" w:rsidRPr="00C0178A">
        <w:rPr>
          <w:rFonts w:ascii="Verdana" w:hAnsi="Verdana"/>
        </w:rPr>
        <w:t xml:space="preserve"> Swansea Bay </w:t>
      </w:r>
      <w:r w:rsidR="00B36570" w:rsidRPr="00C0178A">
        <w:rPr>
          <w:rFonts w:ascii="Verdana" w:hAnsi="Verdana"/>
        </w:rPr>
        <w:t>University</w:t>
      </w:r>
      <w:r>
        <w:rPr>
          <w:rFonts w:ascii="Verdana" w:hAnsi="Verdana"/>
        </w:rPr>
        <w:t xml:space="preserve"> Health Board</w:t>
      </w:r>
    </w:p>
    <w:p w14:paraId="0213258C" w14:textId="77777777" w:rsidR="00C0178A" w:rsidRDefault="00C0178A" w:rsidP="00C0178A">
      <w:pPr>
        <w:pStyle w:val="ListParagraph"/>
        <w:numPr>
          <w:ilvl w:val="0"/>
          <w:numId w:val="10"/>
        </w:numPr>
        <w:jc w:val="both"/>
        <w:rPr>
          <w:rFonts w:ascii="Verdana" w:hAnsi="Verdana"/>
        </w:rPr>
      </w:pPr>
      <w:r w:rsidRPr="00C0178A">
        <w:rPr>
          <w:rFonts w:ascii="Verdana" w:hAnsi="Verdana"/>
        </w:rPr>
        <w:t xml:space="preserve">University Hospital of Wales, </w:t>
      </w:r>
      <w:r w:rsidR="0004202E" w:rsidRPr="00C0178A">
        <w:rPr>
          <w:rFonts w:ascii="Verdana" w:hAnsi="Verdana"/>
        </w:rPr>
        <w:t xml:space="preserve">Cardiff and Vale University Heath </w:t>
      </w:r>
      <w:r w:rsidR="00BC6B8E">
        <w:rPr>
          <w:rFonts w:ascii="Verdana" w:hAnsi="Verdana"/>
        </w:rPr>
        <w:t>Board</w:t>
      </w:r>
    </w:p>
    <w:p w14:paraId="339428C7" w14:textId="77777777" w:rsidR="00736ADD" w:rsidRPr="00C0178A" w:rsidRDefault="00736ADD" w:rsidP="00736ADD">
      <w:pPr>
        <w:pStyle w:val="ListParagraph"/>
        <w:numPr>
          <w:ilvl w:val="0"/>
          <w:numId w:val="10"/>
        </w:numPr>
        <w:jc w:val="both"/>
        <w:rPr>
          <w:rFonts w:ascii="Verdana" w:hAnsi="Verdana"/>
        </w:rPr>
      </w:pPr>
      <w:r w:rsidRPr="00C0178A">
        <w:rPr>
          <w:rFonts w:ascii="Verdana" w:hAnsi="Verdana"/>
        </w:rPr>
        <w:t>Royal Gwent Hospital, Aneuri</w:t>
      </w:r>
      <w:r>
        <w:rPr>
          <w:rFonts w:ascii="Verdana" w:hAnsi="Verdana"/>
        </w:rPr>
        <w:t>n Bevan University Health Board</w:t>
      </w:r>
    </w:p>
    <w:p w14:paraId="55ED279F" w14:textId="77777777" w:rsidR="00736ADD" w:rsidRDefault="00736ADD" w:rsidP="00736ADD">
      <w:pPr>
        <w:jc w:val="both"/>
      </w:pPr>
    </w:p>
    <w:p w14:paraId="0615DAA1" w14:textId="77777777" w:rsidR="0023656D" w:rsidRDefault="00736ADD" w:rsidP="00736ADD">
      <w:pPr>
        <w:jc w:val="both"/>
        <w:rPr>
          <w:rFonts w:ascii="Verdana" w:hAnsi="Verdana"/>
          <w:noProof/>
        </w:rPr>
      </w:pPr>
      <w:r w:rsidRPr="00736ADD">
        <w:rPr>
          <w:rFonts w:ascii="Verdana" w:hAnsi="Verdana"/>
        </w:rPr>
        <w:t>Services</w:t>
      </w:r>
      <w:r w:rsidRPr="00736ADD">
        <w:rPr>
          <w:rFonts w:ascii="Verdana" w:hAnsi="Verdana"/>
          <w:spacing w:val="-4"/>
        </w:rPr>
        <w:t xml:space="preserve"> </w:t>
      </w:r>
      <w:r w:rsidRPr="00736ADD">
        <w:rPr>
          <w:rFonts w:ascii="Verdana" w:hAnsi="Verdana"/>
        </w:rPr>
        <w:t>from</w:t>
      </w:r>
      <w:r w:rsidRPr="00736ADD">
        <w:rPr>
          <w:rFonts w:ascii="Verdana" w:hAnsi="Verdana"/>
          <w:spacing w:val="-4"/>
        </w:rPr>
        <w:t xml:space="preserve"> </w:t>
      </w:r>
      <w:r w:rsidRPr="00736ADD">
        <w:rPr>
          <w:rFonts w:ascii="Verdana" w:hAnsi="Verdana"/>
        </w:rPr>
        <w:t>University Hospital of Wales, Cardiff and the other at Neath Port Talbot Hospital are</w:t>
      </w:r>
      <w:r w:rsidRPr="00736ADD">
        <w:rPr>
          <w:rFonts w:ascii="Verdana" w:hAnsi="Verdana"/>
          <w:spacing w:val="-3"/>
        </w:rPr>
        <w:t xml:space="preserve"> </w:t>
      </w:r>
      <w:r w:rsidRPr="00736ADD">
        <w:rPr>
          <w:rFonts w:ascii="Verdana" w:hAnsi="Verdana"/>
        </w:rPr>
        <w:t>funded by the Welsh Health Specialised Services Committee (WHSC) on behalf of all Health Boards</w:t>
      </w:r>
      <w:r>
        <w:rPr>
          <w:rFonts w:ascii="Verdana" w:hAnsi="Verdana"/>
        </w:rPr>
        <w:t>,</w:t>
      </w:r>
      <w:r w:rsidRPr="00736ADD">
        <w:rPr>
          <w:rFonts w:ascii="Verdana" w:hAnsi="Verdana"/>
        </w:rPr>
        <w:t xml:space="preserve"> whilst t</w:t>
      </w:r>
      <w:r w:rsidR="0023656D" w:rsidRPr="00736ADD">
        <w:rPr>
          <w:rFonts w:ascii="Verdana" w:hAnsi="Verdana"/>
        </w:rPr>
        <w:t>he service delivered from the Royal Gwent hospital is funded by Aneurin Bevan University Health Board.</w:t>
      </w:r>
      <w:r w:rsidR="0023656D" w:rsidRPr="00736ADD">
        <w:rPr>
          <w:rFonts w:ascii="Verdana" w:hAnsi="Verdana"/>
          <w:noProof/>
        </w:rPr>
        <w:t xml:space="preserve"> </w:t>
      </w:r>
    </w:p>
    <w:p w14:paraId="0F70FA21" w14:textId="77777777" w:rsidR="00871470" w:rsidRDefault="00871470" w:rsidP="00736ADD">
      <w:pPr>
        <w:jc w:val="both"/>
        <w:rPr>
          <w:rFonts w:ascii="Verdana" w:hAnsi="Verdana"/>
          <w:noProof/>
        </w:rPr>
      </w:pPr>
    </w:p>
    <w:p w14:paraId="001E81EC" w14:textId="77777777" w:rsidR="001126D5" w:rsidRPr="006750F9" w:rsidRDefault="006750F9" w:rsidP="006750F9">
      <w:pPr>
        <w:pStyle w:val="NormalWeb"/>
        <w:numPr>
          <w:ilvl w:val="0"/>
          <w:numId w:val="1"/>
        </w:numPr>
        <w:rPr>
          <w:b/>
          <w:color w:val="000000"/>
          <w:sz w:val="27"/>
          <w:szCs w:val="27"/>
        </w:rPr>
      </w:pPr>
      <w:r w:rsidRPr="006750F9">
        <w:rPr>
          <w:rFonts w:ascii="Verdana" w:hAnsi="Verdana"/>
          <w:b/>
        </w:rPr>
        <w:t xml:space="preserve">  </w:t>
      </w:r>
      <w:r w:rsidR="00443AC5" w:rsidRPr="006750F9">
        <w:rPr>
          <w:rFonts w:ascii="Verdana" w:hAnsi="Verdana"/>
          <w:b/>
        </w:rPr>
        <w:t xml:space="preserve">PROPOSED SERVICE PROVISION </w:t>
      </w:r>
    </w:p>
    <w:p w14:paraId="2D6AFD59" w14:textId="62C5A4AC" w:rsidR="00E30524" w:rsidRPr="00A82C60" w:rsidRDefault="00904F4D" w:rsidP="008E1410">
      <w:pPr>
        <w:jc w:val="both"/>
        <w:rPr>
          <w:rFonts w:asciiTheme="minorHAnsi" w:eastAsiaTheme="minorEastAsia" w:hAnsi="Calibri" w:cstheme="minorBidi"/>
          <w:color w:val="15264B"/>
          <w:kern w:val="24"/>
        </w:rPr>
      </w:pPr>
      <w:r>
        <w:rPr>
          <w:rFonts w:ascii="Verdana" w:hAnsi="Verdana"/>
        </w:rPr>
        <w:t>Following the pandemic</w:t>
      </w:r>
      <w:r w:rsidR="00ED4818">
        <w:rPr>
          <w:rFonts w:ascii="Verdana" w:hAnsi="Verdana"/>
        </w:rPr>
        <w:t xml:space="preserve">, </w:t>
      </w:r>
      <w:r w:rsidR="008E1410">
        <w:rPr>
          <w:rFonts w:ascii="Verdana" w:hAnsi="Verdana"/>
        </w:rPr>
        <w:t xml:space="preserve">a scoping exercise was undertaken. </w:t>
      </w:r>
    </w:p>
    <w:p w14:paraId="3C810F93" w14:textId="77777777" w:rsidR="00736ADD" w:rsidRPr="00736ADD" w:rsidRDefault="00736ADD" w:rsidP="00736ADD">
      <w:pPr>
        <w:pStyle w:val="BodyText"/>
        <w:spacing w:before="119" w:after="120" w:line="257" w:lineRule="auto"/>
        <w:jc w:val="both"/>
        <w:rPr>
          <w:sz w:val="24"/>
          <w:szCs w:val="24"/>
        </w:rPr>
      </w:pPr>
      <w:r w:rsidRPr="00736ADD">
        <w:rPr>
          <w:sz w:val="24"/>
          <w:szCs w:val="24"/>
        </w:rPr>
        <w:t>T</w:t>
      </w:r>
      <w:r w:rsidR="002927B7">
        <w:rPr>
          <w:sz w:val="24"/>
          <w:szCs w:val="24"/>
        </w:rPr>
        <w:t>he aim of the service review was t</w:t>
      </w:r>
      <w:r w:rsidRPr="00736ADD">
        <w:rPr>
          <w:sz w:val="24"/>
          <w:szCs w:val="24"/>
        </w:rPr>
        <w:t>o</w:t>
      </w:r>
      <w:r w:rsidRPr="00736ADD">
        <w:rPr>
          <w:spacing w:val="40"/>
          <w:sz w:val="24"/>
          <w:szCs w:val="24"/>
        </w:rPr>
        <w:t xml:space="preserve"> </w:t>
      </w:r>
      <w:r w:rsidRPr="00736ADD">
        <w:rPr>
          <w:sz w:val="24"/>
          <w:szCs w:val="24"/>
        </w:rPr>
        <w:t>have</w:t>
      </w:r>
      <w:r w:rsidRPr="00736ADD">
        <w:rPr>
          <w:spacing w:val="40"/>
          <w:sz w:val="24"/>
          <w:szCs w:val="24"/>
        </w:rPr>
        <w:t xml:space="preserve"> </w:t>
      </w:r>
      <w:r w:rsidRPr="00736ADD">
        <w:rPr>
          <w:sz w:val="24"/>
          <w:szCs w:val="24"/>
        </w:rPr>
        <w:t>a safe and sustainable specialist hearing implant device service</w:t>
      </w:r>
      <w:r w:rsidRPr="00736ADD">
        <w:rPr>
          <w:spacing w:val="-4"/>
          <w:sz w:val="24"/>
          <w:szCs w:val="24"/>
        </w:rPr>
        <w:t xml:space="preserve"> </w:t>
      </w:r>
      <w:r w:rsidRPr="00736ADD">
        <w:rPr>
          <w:sz w:val="24"/>
          <w:szCs w:val="24"/>
        </w:rPr>
        <w:t>for</w:t>
      </w:r>
      <w:r w:rsidRPr="00736ADD">
        <w:rPr>
          <w:spacing w:val="-4"/>
          <w:sz w:val="24"/>
          <w:szCs w:val="24"/>
        </w:rPr>
        <w:t xml:space="preserve"> children and adults in</w:t>
      </w:r>
      <w:r w:rsidRPr="00736ADD">
        <w:rPr>
          <w:sz w:val="24"/>
          <w:szCs w:val="24"/>
        </w:rPr>
        <w:t xml:space="preserve"> South East Wales, South West Wales and South Powys that:</w:t>
      </w:r>
    </w:p>
    <w:p w14:paraId="3E3F42DC" w14:textId="45325D0F" w:rsidR="00736ADD" w:rsidRPr="00736ADD" w:rsidRDefault="00736ADD" w:rsidP="00736ADD">
      <w:pPr>
        <w:pStyle w:val="ListParagraph"/>
        <w:widowControl w:val="0"/>
        <w:numPr>
          <w:ilvl w:val="0"/>
          <w:numId w:val="17"/>
        </w:numPr>
        <w:tabs>
          <w:tab w:val="left" w:pos="840"/>
          <w:tab w:val="left" w:pos="841"/>
        </w:tabs>
        <w:autoSpaceDE w:val="0"/>
        <w:autoSpaceDN w:val="0"/>
        <w:spacing w:before="3"/>
        <w:ind w:hanging="361"/>
        <w:jc w:val="both"/>
        <w:rPr>
          <w:rFonts w:ascii="Verdana" w:hAnsi="Verdana"/>
        </w:rPr>
      </w:pPr>
      <w:r w:rsidRPr="00736ADD">
        <w:rPr>
          <w:rFonts w:ascii="Verdana" w:hAnsi="Verdana"/>
        </w:rPr>
        <w:t>Provides</w:t>
      </w:r>
      <w:r w:rsidRPr="00736ADD">
        <w:rPr>
          <w:rFonts w:ascii="Verdana" w:hAnsi="Verdana"/>
          <w:spacing w:val="-6"/>
        </w:rPr>
        <w:t xml:space="preserve"> </w:t>
      </w:r>
      <w:r w:rsidRPr="00736ADD">
        <w:rPr>
          <w:rFonts w:ascii="Verdana" w:hAnsi="Verdana"/>
        </w:rPr>
        <w:t>equitable</w:t>
      </w:r>
      <w:r w:rsidRPr="00736ADD">
        <w:rPr>
          <w:rFonts w:ascii="Verdana" w:hAnsi="Verdana"/>
          <w:spacing w:val="-4"/>
        </w:rPr>
        <w:t xml:space="preserve"> </w:t>
      </w:r>
      <w:r w:rsidRPr="00736ADD">
        <w:rPr>
          <w:rFonts w:ascii="Verdana" w:hAnsi="Verdana"/>
          <w:spacing w:val="-2"/>
        </w:rPr>
        <w:t>access</w:t>
      </w:r>
      <w:r w:rsidR="007B4EA6">
        <w:rPr>
          <w:rFonts w:ascii="Verdana" w:hAnsi="Verdana"/>
          <w:spacing w:val="-2"/>
        </w:rPr>
        <w:t>,</w:t>
      </w:r>
    </w:p>
    <w:p w14:paraId="1BF4BE34" w14:textId="5C6F2922" w:rsidR="00736ADD" w:rsidRPr="00736ADD" w:rsidRDefault="00736ADD" w:rsidP="00736ADD">
      <w:pPr>
        <w:pStyle w:val="ListParagraph"/>
        <w:widowControl w:val="0"/>
        <w:numPr>
          <w:ilvl w:val="0"/>
          <w:numId w:val="17"/>
        </w:numPr>
        <w:tabs>
          <w:tab w:val="left" w:pos="840"/>
          <w:tab w:val="left" w:pos="841"/>
        </w:tabs>
        <w:autoSpaceDE w:val="0"/>
        <w:autoSpaceDN w:val="0"/>
        <w:spacing w:before="24"/>
        <w:ind w:hanging="361"/>
        <w:jc w:val="both"/>
        <w:rPr>
          <w:rFonts w:ascii="Verdana" w:hAnsi="Verdana"/>
        </w:rPr>
      </w:pPr>
      <w:r w:rsidRPr="00736ADD">
        <w:rPr>
          <w:rFonts w:ascii="Verdana" w:hAnsi="Verdana"/>
        </w:rPr>
        <w:lastRenderedPageBreak/>
        <w:t>Meets</w:t>
      </w:r>
      <w:r w:rsidRPr="00736ADD">
        <w:rPr>
          <w:rFonts w:ascii="Verdana" w:hAnsi="Verdana"/>
          <w:spacing w:val="-5"/>
        </w:rPr>
        <w:t xml:space="preserve"> </w:t>
      </w:r>
      <w:r w:rsidRPr="00736ADD">
        <w:rPr>
          <w:rFonts w:ascii="Verdana" w:hAnsi="Verdana"/>
        </w:rPr>
        <w:t>published</w:t>
      </w:r>
      <w:r w:rsidRPr="00736ADD">
        <w:rPr>
          <w:rFonts w:ascii="Verdana" w:hAnsi="Verdana"/>
          <w:spacing w:val="-2"/>
        </w:rPr>
        <w:t xml:space="preserve"> standards and guidance</w:t>
      </w:r>
      <w:r w:rsidR="007B4EA6">
        <w:rPr>
          <w:rFonts w:ascii="Verdana" w:hAnsi="Verdana"/>
          <w:spacing w:val="-2"/>
        </w:rPr>
        <w:t>,</w:t>
      </w:r>
    </w:p>
    <w:p w14:paraId="173180EC" w14:textId="4C2CAA1F" w:rsidR="00736ADD" w:rsidRPr="00736ADD" w:rsidRDefault="00736ADD" w:rsidP="00736ADD">
      <w:pPr>
        <w:pStyle w:val="ListParagraph"/>
        <w:widowControl w:val="0"/>
        <w:numPr>
          <w:ilvl w:val="0"/>
          <w:numId w:val="17"/>
        </w:numPr>
        <w:tabs>
          <w:tab w:val="left" w:pos="840"/>
          <w:tab w:val="left" w:pos="841"/>
        </w:tabs>
        <w:autoSpaceDE w:val="0"/>
        <w:autoSpaceDN w:val="0"/>
        <w:spacing w:before="25"/>
        <w:ind w:hanging="361"/>
        <w:jc w:val="both"/>
        <w:rPr>
          <w:rFonts w:ascii="Verdana" w:hAnsi="Verdana"/>
        </w:rPr>
      </w:pPr>
      <w:r w:rsidRPr="00736ADD">
        <w:rPr>
          <w:rFonts w:ascii="Verdana" w:hAnsi="Verdana"/>
        </w:rPr>
        <w:t>Has</w:t>
      </w:r>
      <w:r w:rsidRPr="00736ADD">
        <w:rPr>
          <w:rFonts w:ascii="Verdana" w:hAnsi="Verdana"/>
          <w:spacing w:val="-5"/>
        </w:rPr>
        <w:t xml:space="preserve"> </w:t>
      </w:r>
      <w:r w:rsidRPr="00736ADD">
        <w:rPr>
          <w:rFonts w:ascii="Verdana" w:hAnsi="Verdana"/>
        </w:rPr>
        <w:t>staff</w:t>
      </w:r>
      <w:r w:rsidRPr="00736ADD">
        <w:rPr>
          <w:rFonts w:ascii="Verdana" w:hAnsi="Verdana"/>
          <w:spacing w:val="-4"/>
        </w:rPr>
        <w:t xml:space="preserve"> </w:t>
      </w:r>
      <w:r w:rsidRPr="00736ADD">
        <w:rPr>
          <w:rFonts w:ascii="Verdana" w:hAnsi="Verdana"/>
        </w:rPr>
        <w:t>in</w:t>
      </w:r>
      <w:r w:rsidRPr="00736ADD">
        <w:rPr>
          <w:rFonts w:ascii="Verdana" w:hAnsi="Verdana"/>
          <w:spacing w:val="-3"/>
        </w:rPr>
        <w:t xml:space="preserve"> </w:t>
      </w:r>
      <w:r w:rsidRPr="00736ADD">
        <w:rPr>
          <w:rFonts w:ascii="Verdana" w:hAnsi="Verdana"/>
        </w:rPr>
        <w:t>the</w:t>
      </w:r>
      <w:r w:rsidRPr="00736ADD">
        <w:rPr>
          <w:rFonts w:ascii="Verdana" w:hAnsi="Verdana"/>
          <w:spacing w:val="-3"/>
        </w:rPr>
        <w:t xml:space="preserve"> </w:t>
      </w:r>
      <w:r w:rsidRPr="00736ADD">
        <w:rPr>
          <w:rFonts w:ascii="Verdana" w:hAnsi="Verdana"/>
        </w:rPr>
        <w:t>right</w:t>
      </w:r>
      <w:r w:rsidRPr="00736ADD">
        <w:rPr>
          <w:rFonts w:ascii="Verdana" w:hAnsi="Verdana"/>
          <w:spacing w:val="-3"/>
        </w:rPr>
        <w:t xml:space="preserve"> </w:t>
      </w:r>
      <w:r w:rsidRPr="00736ADD">
        <w:rPr>
          <w:rFonts w:ascii="Verdana" w:hAnsi="Verdana"/>
        </w:rPr>
        <w:t>place</w:t>
      </w:r>
      <w:r w:rsidRPr="00736ADD">
        <w:rPr>
          <w:rFonts w:ascii="Verdana" w:hAnsi="Verdana"/>
          <w:spacing w:val="-6"/>
        </w:rPr>
        <w:t xml:space="preserve"> </w:t>
      </w:r>
      <w:r w:rsidRPr="00736ADD">
        <w:rPr>
          <w:rFonts w:ascii="Verdana" w:hAnsi="Verdana"/>
        </w:rPr>
        <w:t>with</w:t>
      </w:r>
      <w:r w:rsidRPr="00736ADD">
        <w:rPr>
          <w:rFonts w:ascii="Verdana" w:hAnsi="Verdana"/>
          <w:spacing w:val="-3"/>
        </w:rPr>
        <w:t xml:space="preserve"> </w:t>
      </w:r>
      <w:r w:rsidRPr="00736ADD">
        <w:rPr>
          <w:rFonts w:ascii="Verdana" w:hAnsi="Verdana"/>
        </w:rPr>
        <w:t>the</w:t>
      </w:r>
      <w:r w:rsidRPr="00736ADD">
        <w:rPr>
          <w:rFonts w:ascii="Verdana" w:hAnsi="Verdana"/>
          <w:spacing w:val="-3"/>
        </w:rPr>
        <w:t xml:space="preserve"> </w:t>
      </w:r>
      <w:r w:rsidRPr="00736ADD">
        <w:rPr>
          <w:rFonts w:ascii="Verdana" w:hAnsi="Verdana"/>
        </w:rPr>
        <w:t>right</w:t>
      </w:r>
      <w:r w:rsidRPr="00736ADD">
        <w:rPr>
          <w:rFonts w:ascii="Verdana" w:hAnsi="Verdana"/>
          <w:spacing w:val="-3"/>
        </w:rPr>
        <w:t xml:space="preserve"> </w:t>
      </w:r>
      <w:r w:rsidRPr="00736ADD">
        <w:rPr>
          <w:rFonts w:ascii="Verdana" w:hAnsi="Verdana"/>
        </w:rPr>
        <w:t>specialist</w:t>
      </w:r>
      <w:r w:rsidRPr="00736ADD">
        <w:rPr>
          <w:rFonts w:ascii="Verdana" w:hAnsi="Verdana"/>
          <w:spacing w:val="-6"/>
        </w:rPr>
        <w:t xml:space="preserve"> </w:t>
      </w:r>
      <w:r w:rsidRPr="00736ADD">
        <w:rPr>
          <w:rFonts w:ascii="Verdana" w:hAnsi="Verdana"/>
          <w:spacing w:val="-2"/>
        </w:rPr>
        <w:t>skills</w:t>
      </w:r>
      <w:r w:rsidR="007B4EA6">
        <w:rPr>
          <w:rFonts w:ascii="Verdana" w:hAnsi="Verdana"/>
          <w:spacing w:val="-2"/>
        </w:rPr>
        <w:t>,</w:t>
      </w:r>
    </w:p>
    <w:p w14:paraId="612BA1C4" w14:textId="31EA5EFE" w:rsidR="00736ADD" w:rsidRPr="00736ADD" w:rsidRDefault="00736ADD" w:rsidP="00736ADD">
      <w:pPr>
        <w:pStyle w:val="ListParagraph"/>
        <w:widowControl w:val="0"/>
        <w:numPr>
          <w:ilvl w:val="0"/>
          <w:numId w:val="17"/>
        </w:numPr>
        <w:tabs>
          <w:tab w:val="left" w:pos="840"/>
          <w:tab w:val="left" w:pos="841"/>
        </w:tabs>
        <w:autoSpaceDE w:val="0"/>
        <w:autoSpaceDN w:val="0"/>
        <w:spacing w:before="25"/>
        <w:ind w:left="851" w:hanging="284"/>
        <w:jc w:val="both"/>
        <w:rPr>
          <w:rFonts w:ascii="Verdana" w:hAnsi="Verdana"/>
        </w:rPr>
      </w:pPr>
      <w:r w:rsidRPr="00736ADD">
        <w:rPr>
          <w:rFonts w:ascii="Verdana" w:hAnsi="Verdana"/>
          <w:spacing w:val="-2"/>
        </w:rPr>
        <w:t>Has a multi-disciplinary team where all patients are discussed and planned for, and able to offer access to all types of commissioned hearing implants</w:t>
      </w:r>
      <w:r w:rsidR="007B4EA6">
        <w:rPr>
          <w:rFonts w:ascii="Verdana" w:hAnsi="Verdana"/>
          <w:spacing w:val="-2"/>
        </w:rPr>
        <w:t>,</w:t>
      </w:r>
    </w:p>
    <w:p w14:paraId="61E9D9B5" w14:textId="23E6FF4B" w:rsidR="00736ADD" w:rsidRPr="00736ADD" w:rsidRDefault="00736ADD" w:rsidP="00736ADD">
      <w:pPr>
        <w:pStyle w:val="ListParagraph"/>
        <w:widowControl w:val="0"/>
        <w:numPr>
          <w:ilvl w:val="0"/>
          <w:numId w:val="17"/>
        </w:numPr>
        <w:tabs>
          <w:tab w:val="left" w:pos="840"/>
          <w:tab w:val="left" w:pos="841"/>
        </w:tabs>
        <w:autoSpaceDE w:val="0"/>
        <w:autoSpaceDN w:val="0"/>
        <w:spacing w:before="21"/>
        <w:ind w:hanging="361"/>
        <w:jc w:val="both"/>
        <w:rPr>
          <w:rFonts w:ascii="Verdana" w:hAnsi="Verdana"/>
        </w:rPr>
      </w:pPr>
      <w:r w:rsidRPr="00736ADD">
        <w:rPr>
          <w:rFonts w:ascii="Verdana" w:hAnsi="Verdana"/>
        </w:rPr>
        <w:t>Facilitates</w:t>
      </w:r>
      <w:r w:rsidRPr="00736ADD">
        <w:rPr>
          <w:rFonts w:ascii="Verdana" w:hAnsi="Verdana"/>
          <w:spacing w:val="-6"/>
        </w:rPr>
        <w:t xml:space="preserve"> </w:t>
      </w:r>
      <w:r w:rsidRPr="00736ADD">
        <w:rPr>
          <w:rFonts w:ascii="Verdana" w:hAnsi="Verdana"/>
        </w:rPr>
        <w:t>timely</w:t>
      </w:r>
      <w:r w:rsidRPr="00736ADD">
        <w:rPr>
          <w:rFonts w:ascii="Verdana" w:hAnsi="Verdana"/>
          <w:spacing w:val="-6"/>
        </w:rPr>
        <w:t xml:space="preserve"> </w:t>
      </w:r>
      <w:r w:rsidRPr="00736ADD">
        <w:rPr>
          <w:rFonts w:ascii="Verdana" w:hAnsi="Verdana"/>
        </w:rPr>
        <w:t>access</w:t>
      </w:r>
      <w:r w:rsidRPr="00736ADD">
        <w:rPr>
          <w:rFonts w:ascii="Verdana" w:hAnsi="Verdana"/>
          <w:spacing w:val="-4"/>
        </w:rPr>
        <w:t xml:space="preserve"> </w:t>
      </w:r>
      <w:r w:rsidRPr="00736ADD">
        <w:rPr>
          <w:rFonts w:ascii="Verdana" w:hAnsi="Verdana"/>
        </w:rPr>
        <w:t>to</w:t>
      </w:r>
      <w:r w:rsidRPr="00736ADD">
        <w:rPr>
          <w:rFonts w:ascii="Verdana" w:hAnsi="Verdana"/>
          <w:spacing w:val="-6"/>
        </w:rPr>
        <w:t xml:space="preserve"> </w:t>
      </w:r>
      <w:r w:rsidRPr="00736ADD">
        <w:rPr>
          <w:rFonts w:ascii="Verdana" w:hAnsi="Verdana"/>
          <w:spacing w:val="-2"/>
        </w:rPr>
        <w:t>surgery</w:t>
      </w:r>
      <w:r w:rsidR="007B4EA6">
        <w:rPr>
          <w:rFonts w:ascii="Verdana" w:hAnsi="Verdana"/>
          <w:spacing w:val="-2"/>
        </w:rPr>
        <w:t>.</w:t>
      </w:r>
    </w:p>
    <w:p w14:paraId="55DC7E77" w14:textId="77777777" w:rsidR="00736ADD" w:rsidRPr="00736ADD" w:rsidRDefault="00736ADD" w:rsidP="00736ADD">
      <w:pPr>
        <w:pStyle w:val="BodyText"/>
        <w:spacing w:before="186"/>
        <w:jc w:val="both"/>
        <w:rPr>
          <w:sz w:val="24"/>
          <w:szCs w:val="24"/>
        </w:rPr>
      </w:pPr>
      <w:r w:rsidRPr="00736ADD">
        <w:rPr>
          <w:sz w:val="24"/>
          <w:szCs w:val="24"/>
        </w:rPr>
        <w:t>To</w:t>
      </w:r>
      <w:r w:rsidRPr="00736ADD">
        <w:rPr>
          <w:spacing w:val="-5"/>
          <w:sz w:val="24"/>
          <w:szCs w:val="24"/>
        </w:rPr>
        <w:t xml:space="preserve"> </w:t>
      </w:r>
      <w:r w:rsidRPr="00736ADD">
        <w:rPr>
          <w:sz w:val="24"/>
          <w:szCs w:val="24"/>
        </w:rPr>
        <w:t>consider</w:t>
      </w:r>
      <w:r w:rsidRPr="00736ADD">
        <w:rPr>
          <w:spacing w:val="-3"/>
          <w:sz w:val="24"/>
          <w:szCs w:val="24"/>
        </w:rPr>
        <w:t xml:space="preserve"> </w:t>
      </w:r>
      <w:r w:rsidRPr="00736ADD">
        <w:rPr>
          <w:sz w:val="24"/>
          <w:szCs w:val="24"/>
        </w:rPr>
        <w:t>the</w:t>
      </w:r>
      <w:r w:rsidRPr="00736ADD">
        <w:rPr>
          <w:spacing w:val="-3"/>
          <w:sz w:val="24"/>
          <w:szCs w:val="24"/>
        </w:rPr>
        <w:t xml:space="preserve"> </w:t>
      </w:r>
      <w:r w:rsidRPr="00736ADD">
        <w:rPr>
          <w:sz w:val="24"/>
          <w:szCs w:val="24"/>
        </w:rPr>
        <w:t>best</w:t>
      </w:r>
      <w:r w:rsidRPr="00736ADD">
        <w:rPr>
          <w:spacing w:val="-3"/>
          <w:sz w:val="24"/>
          <w:szCs w:val="24"/>
        </w:rPr>
        <w:t xml:space="preserve"> </w:t>
      </w:r>
      <w:r w:rsidRPr="00736ADD">
        <w:rPr>
          <w:sz w:val="24"/>
          <w:szCs w:val="24"/>
        </w:rPr>
        <w:t>option,</w:t>
      </w:r>
      <w:r w:rsidRPr="00736ADD">
        <w:rPr>
          <w:spacing w:val="-2"/>
          <w:sz w:val="24"/>
          <w:szCs w:val="24"/>
        </w:rPr>
        <w:t xml:space="preserve"> </w:t>
      </w:r>
      <w:r w:rsidRPr="00736ADD">
        <w:rPr>
          <w:sz w:val="24"/>
          <w:szCs w:val="24"/>
        </w:rPr>
        <w:t>three</w:t>
      </w:r>
      <w:r w:rsidRPr="00736ADD">
        <w:rPr>
          <w:spacing w:val="-5"/>
          <w:sz w:val="24"/>
          <w:szCs w:val="24"/>
        </w:rPr>
        <w:t xml:space="preserve"> </w:t>
      </w:r>
      <w:r w:rsidRPr="00736ADD">
        <w:rPr>
          <w:sz w:val="24"/>
          <w:szCs w:val="24"/>
        </w:rPr>
        <w:t>pieces</w:t>
      </w:r>
      <w:r w:rsidRPr="00736ADD">
        <w:rPr>
          <w:spacing w:val="-3"/>
          <w:sz w:val="24"/>
          <w:szCs w:val="24"/>
        </w:rPr>
        <w:t xml:space="preserve"> </w:t>
      </w:r>
      <w:r w:rsidRPr="00736ADD">
        <w:rPr>
          <w:sz w:val="24"/>
          <w:szCs w:val="24"/>
        </w:rPr>
        <w:t>of</w:t>
      </w:r>
      <w:r w:rsidRPr="00736ADD">
        <w:rPr>
          <w:spacing w:val="-4"/>
          <w:sz w:val="24"/>
          <w:szCs w:val="24"/>
        </w:rPr>
        <w:t xml:space="preserve"> </w:t>
      </w:r>
      <w:r w:rsidRPr="00736ADD">
        <w:rPr>
          <w:sz w:val="24"/>
          <w:szCs w:val="24"/>
        </w:rPr>
        <w:t>work</w:t>
      </w:r>
      <w:r w:rsidRPr="00736ADD">
        <w:rPr>
          <w:spacing w:val="-4"/>
          <w:sz w:val="24"/>
          <w:szCs w:val="24"/>
        </w:rPr>
        <w:t xml:space="preserve"> </w:t>
      </w:r>
      <w:r w:rsidRPr="00736ADD">
        <w:rPr>
          <w:sz w:val="24"/>
          <w:szCs w:val="24"/>
        </w:rPr>
        <w:t>have</w:t>
      </w:r>
      <w:r w:rsidRPr="00736ADD">
        <w:rPr>
          <w:spacing w:val="-3"/>
          <w:sz w:val="24"/>
          <w:szCs w:val="24"/>
        </w:rPr>
        <w:t xml:space="preserve"> </w:t>
      </w:r>
      <w:r w:rsidRPr="00736ADD">
        <w:rPr>
          <w:sz w:val="24"/>
          <w:szCs w:val="24"/>
        </w:rPr>
        <w:t>been</w:t>
      </w:r>
      <w:r w:rsidRPr="00736ADD">
        <w:rPr>
          <w:spacing w:val="-2"/>
          <w:sz w:val="24"/>
          <w:szCs w:val="24"/>
        </w:rPr>
        <w:t xml:space="preserve"> undertaken:</w:t>
      </w:r>
    </w:p>
    <w:p w14:paraId="06EC8256" w14:textId="438BE9F2" w:rsidR="00736ADD" w:rsidRPr="00736ADD" w:rsidRDefault="00736ADD" w:rsidP="001E0A30">
      <w:pPr>
        <w:pStyle w:val="ListParagraph"/>
        <w:widowControl w:val="0"/>
        <w:numPr>
          <w:ilvl w:val="0"/>
          <w:numId w:val="19"/>
        </w:numPr>
        <w:tabs>
          <w:tab w:val="left" w:pos="851"/>
        </w:tabs>
        <w:autoSpaceDE w:val="0"/>
        <w:autoSpaceDN w:val="0"/>
        <w:spacing w:before="188"/>
        <w:ind w:hanging="993"/>
        <w:jc w:val="both"/>
        <w:rPr>
          <w:rFonts w:ascii="Verdana" w:hAnsi="Verdana"/>
        </w:rPr>
      </w:pPr>
      <w:r w:rsidRPr="00736ADD">
        <w:rPr>
          <w:rFonts w:ascii="Verdana" w:hAnsi="Verdana"/>
        </w:rPr>
        <w:t>A</w:t>
      </w:r>
      <w:r w:rsidRPr="00736ADD">
        <w:rPr>
          <w:rFonts w:ascii="Verdana" w:hAnsi="Verdana"/>
          <w:spacing w:val="-4"/>
        </w:rPr>
        <w:t xml:space="preserve"> </w:t>
      </w:r>
      <w:r w:rsidRPr="00736ADD">
        <w:rPr>
          <w:rFonts w:ascii="Verdana" w:hAnsi="Verdana"/>
        </w:rPr>
        <w:t>clinical</w:t>
      </w:r>
      <w:r w:rsidRPr="00736ADD">
        <w:rPr>
          <w:rFonts w:ascii="Verdana" w:hAnsi="Verdana"/>
          <w:spacing w:val="-3"/>
        </w:rPr>
        <w:t xml:space="preserve"> </w:t>
      </w:r>
      <w:r w:rsidRPr="00736ADD">
        <w:rPr>
          <w:rFonts w:ascii="Verdana" w:hAnsi="Verdana"/>
        </w:rPr>
        <w:t>option</w:t>
      </w:r>
      <w:r w:rsidRPr="00736ADD">
        <w:rPr>
          <w:rFonts w:ascii="Verdana" w:hAnsi="Verdana"/>
          <w:spacing w:val="-2"/>
        </w:rPr>
        <w:t xml:space="preserve"> appraisal</w:t>
      </w:r>
      <w:r w:rsidR="007B4EA6">
        <w:rPr>
          <w:rFonts w:ascii="Verdana" w:hAnsi="Verdana"/>
          <w:spacing w:val="-2"/>
        </w:rPr>
        <w:t>,</w:t>
      </w:r>
    </w:p>
    <w:p w14:paraId="3A50CE52" w14:textId="43CA7F67" w:rsidR="00736ADD" w:rsidRPr="00736ADD" w:rsidRDefault="00736ADD" w:rsidP="001E0A30">
      <w:pPr>
        <w:pStyle w:val="ListParagraph"/>
        <w:widowControl w:val="0"/>
        <w:numPr>
          <w:ilvl w:val="0"/>
          <w:numId w:val="19"/>
        </w:numPr>
        <w:tabs>
          <w:tab w:val="left" w:pos="851"/>
        </w:tabs>
        <w:autoSpaceDE w:val="0"/>
        <w:autoSpaceDN w:val="0"/>
        <w:spacing w:before="187"/>
        <w:ind w:left="851" w:right="1207" w:hanging="284"/>
        <w:jc w:val="both"/>
        <w:rPr>
          <w:rFonts w:ascii="Verdana" w:hAnsi="Verdana"/>
        </w:rPr>
      </w:pPr>
      <w:r w:rsidRPr="00736ADD">
        <w:rPr>
          <w:rFonts w:ascii="Verdana" w:hAnsi="Verdana"/>
        </w:rPr>
        <w:t>An</w:t>
      </w:r>
      <w:r w:rsidRPr="00736ADD">
        <w:rPr>
          <w:rFonts w:ascii="Verdana" w:hAnsi="Verdana"/>
          <w:spacing w:val="-5"/>
        </w:rPr>
        <w:t xml:space="preserve"> </w:t>
      </w:r>
      <w:r w:rsidRPr="00736ADD">
        <w:rPr>
          <w:rFonts w:ascii="Verdana" w:hAnsi="Verdana"/>
        </w:rPr>
        <w:t>external</w:t>
      </w:r>
      <w:r w:rsidRPr="00736ADD">
        <w:rPr>
          <w:rFonts w:ascii="Verdana" w:hAnsi="Verdana"/>
          <w:spacing w:val="-2"/>
        </w:rPr>
        <w:t xml:space="preserve"> </w:t>
      </w:r>
      <w:r w:rsidRPr="00736ADD">
        <w:rPr>
          <w:rFonts w:ascii="Verdana" w:hAnsi="Verdana"/>
        </w:rPr>
        <w:t>assessment</w:t>
      </w:r>
      <w:r w:rsidRPr="00736ADD">
        <w:rPr>
          <w:rFonts w:ascii="Verdana" w:hAnsi="Verdana"/>
          <w:spacing w:val="-4"/>
        </w:rPr>
        <w:t xml:space="preserve"> </w:t>
      </w:r>
      <w:r w:rsidRPr="00736ADD">
        <w:rPr>
          <w:rFonts w:ascii="Verdana" w:hAnsi="Verdana"/>
        </w:rPr>
        <w:t>of</w:t>
      </w:r>
      <w:r w:rsidRPr="00736ADD">
        <w:rPr>
          <w:rFonts w:ascii="Verdana" w:hAnsi="Verdana"/>
          <w:spacing w:val="-5"/>
        </w:rPr>
        <w:t xml:space="preserve"> </w:t>
      </w:r>
      <w:r w:rsidRPr="00736ADD">
        <w:rPr>
          <w:rFonts w:ascii="Verdana" w:hAnsi="Verdana"/>
        </w:rPr>
        <w:t>the</w:t>
      </w:r>
      <w:r w:rsidRPr="00736ADD">
        <w:rPr>
          <w:rFonts w:ascii="Verdana" w:hAnsi="Verdana"/>
          <w:spacing w:val="-7"/>
        </w:rPr>
        <w:t xml:space="preserve"> </w:t>
      </w:r>
      <w:r w:rsidRPr="00736ADD">
        <w:rPr>
          <w:rFonts w:ascii="Verdana" w:hAnsi="Verdana"/>
        </w:rPr>
        <w:t>options</w:t>
      </w:r>
      <w:r w:rsidRPr="00736ADD">
        <w:rPr>
          <w:rFonts w:ascii="Verdana" w:hAnsi="Verdana"/>
          <w:spacing w:val="-4"/>
        </w:rPr>
        <w:t xml:space="preserve"> </w:t>
      </w:r>
      <w:r w:rsidRPr="00736ADD">
        <w:rPr>
          <w:rFonts w:ascii="Verdana" w:hAnsi="Verdana"/>
        </w:rPr>
        <w:t>and</w:t>
      </w:r>
      <w:r w:rsidRPr="00736ADD">
        <w:rPr>
          <w:rFonts w:ascii="Verdana" w:hAnsi="Verdana"/>
          <w:spacing w:val="-4"/>
        </w:rPr>
        <w:t xml:space="preserve"> </w:t>
      </w:r>
      <w:r w:rsidRPr="00736ADD">
        <w:rPr>
          <w:rFonts w:ascii="Verdana" w:hAnsi="Verdana"/>
        </w:rPr>
        <w:t>how</w:t>
      </w:r>
      <w:r w:rsidRPr="00736ADD">
        <w:rPr>
          <w:rFonts w:ascii="Verdana" w:hAnsi="Verdana"/>
          <w:spacing w:val="-4"/>
        </w:rPr>
        <w:t xml:space="preserve"> </w:t>
      </w:r>
      <w:r>
        <w:rPr>
          <w:rFonts w:ascii="Verdana" w:hAnsi="Verdana"/>
        </w:rPr>
        <w:t xml:space="preserve">they would </w:t>
      </w:r>
      <w:r w:rsidRPr="00736ADD">
        <w:rPr>
          <w:rFonts w:ascii="Verdana" w:hAnsi="Verdana"/>
        </w:rPr>
        <w:t>deliver against standards set for the service</w:t>
      </w:r>
      <w:r w:rsidR="007B4EA6">
        <w:rPr>
          <w:rFonts w:ascii="Verdana" w:hAnsi="Verdana"/>
        </w:rPr>
        <w:t>,</w:t>
      </w:r>
    </w:p>
    <w:p w14:paraId="4907F8A7" w14:textId="3B5D53AB" w:rsidR="00736ADD" w:rsidRPr="00736ADD" w:rsidRDefault="00736ADD" w:rsidP="001E0A30">
      <w:pPr>
        <w:pStyle w:val="ListParagraph"/>
        <w:widowControl w:val="0"/>
        <w:numPr>
          <w:ilvl w:val="0"/>
          <w:numId w:val="19"/>
        </w:numPr>
        <w:autoSpaceDE w:val="0"/>
        <w:autoSpaceDN w:val="0"/>
        <w:spacing w:before="158"/>
        <w:ind w:left="851" w:hanging="284"/>
        <w:jc w:val="both"/>
        <w:rPr>
          <w:rFonts w:ascii="Verdana" w:hAnsi="Verdana"/>
        </w:rPr>
      </w:pPr>
      <w:r w:rsidRPr="00736ADD">
        <w:rPr>
          <w:rFonts w:ascii="Verdana" w:hAnsi="Verdana"/>
        </w:rPr>
        <w:t>A</w:t>
      </w:r>
      <w:r w:rsidRPr="00736ADD">
        <w:rPr>
          <w:rFonts w:ascii="Verdana" w:hAnsi="Verdana"/>
          <w:spacing w:val="-5"/>
        </w:rPr>
        <w:t xml:space="preserve"> </w:t>
      </w:r>
      <w:r w:rsidRPr="00736ADD">
        <w:rPr>
          <w:rFonts w:ascii="Verdana" w:hAnsi="Verdana"/>
        </w:rPr>
        <w:t>financial</w:t>
      </w:r>
      <w:r w:rsidRPr="00736ADD">
        <w:rPr>
          <w:rFonts w:ascii="Verdana" w:hAnsi="Verdana"/>
          <w:spacing w:val="-2"/>
        </w:rPr>
        <w:t xml:space="preserve"> </w:t>
      </w:r>
      <w:r w:rsidRPr="00736ADD">
        <w:rPr>
          <w:rFonts w:ascii="Verdana" w:hAnsi="Verdana"/>
        </w:rPr>
        <w:t>option</w:t>
      </w:r>
      <w:r w:rsidRPr="00736ADD">
        <w:rPr>
          <w:rFonts w:ascii="Verdana" w:hAnsi="Verdana"/>
          <w:spacing w:val="-6"/>
        </w:rPr>
        <w:t xml:space="preserve"> </w:t>
      </w:r>
      <w:r w:rsidRPr="00736ADD">
        <w:rPr>
          <w:rFonts w:ascii="Verdana" w:hAnsi="Verdana"/>
          <w:spacing w:val="-2"/>
        </w:rPr>
        <w:t>appraisal</w:t>
      </w:r>
      <w:r w:rsidR="007B4EA6">
        <w:rPr>
          <w:rFonts w:ascii="Verdana" w:hAnsi="Verdana"/>
          <w:spacing w:val="-2"/>
        </w:rPr>
        <w:t>.</w:t>
      </w:r>
    </w:p>
    <w:p w14:paraId="51DB08D7" w14:textId="77777777" w:rsidR="00736ADD" w:rsidRPr="00736ADD" w:rsidRDefault="00736ADD" w:rsidP="00583D6F">
      <w:pPr>
        <w:pStyle w:val="BodyText"/>
        <w:spacing w:before="190" w:line="256" w:lineRule="auto"/>
        <w:ind w:right="167"/>
        <w:jc w:val="both"/>
        <w:rPr>
          <w:sz w:val="24"/>
          <w:szCs w:val="24"/>
        </w:rPr>
      </w:pPr>
      <w:r w:rsidRPr="00736ADD">
        <w:rPr>
          <w:sz w:val="24"/>
          <w:szCs w:val="24"/>
        </w:rPr>
        <w:t>Underpinning all three pieces of work were the British Cochlear Implant Group guidelines</w:t>
      </w:r>
      <w:r w:rsidRPr="00736ADD">
        <w:rPr>
          <w:rStyle w:val="FootnoteReference"/>
          <w:sz w:val="24"/>
          <w:szCs w:val="24"/>
        </w:rPr>
        <w:footnoteReference w:id="3"/>
      </w:r>
      <w:r w:rsidRPr="00736ADD">
        <w:rPr>
          <w:spacing w:val="30"/>
          <w:position w:val="10"/>
          <w:sz w:val="24"/>
          <w:szCs w:val="24"/>
        </w:rPr>
        <w:t xml:space="preserve"> </w:t>
      </w:r>
      <w:r w:rsidRPr="00736ADD">
        <w:rPr>
          <w:sz w:val="24"/>
          <w:szCs w:val="24"/>
        </w:rPr>
        <w:t>and</w:t>
      </w:r>
      <w:r w:rsidRPr="00736ADD">
        <w:rPr>
          <w:spacing w:val="-5"/>
          <w:sz w:val="24"/>
          <w:szCs w:val="24"/>
        </w:rPr>
        <w:t xml:space="preserve"> </w:t>
      </w:r>
      <w:r w:rsidRPr="00736ADD">
        <w:rPr>
          <w:sz w:val="24"/>
          <w:szCs w:val="24"/>
        </w:rPr>
        <w:t>the</w:t>
      </w:r>
      <w:r w:rsidRPr="00736ADD">
        <w:rPr>
          <w:spacing w:val="-5"/>
          <w:sz w:val="24"/>
          <w:szCs w:val="24"/>
        </w:rPr>
        <w:t xml:space="preserve"> </w:t>
      </w:r>
      <w:r w:rsidRPr="00736ADD">
        <w:rPr>
          <w:sz w:val="24"/>
          <w:szCs w:val="24"/>
        </w:rPr>
        <w:t>NHS</w:t>
      </w:r>
      <w:r w:rsidRPr="00736ADD">
        <w:rPr>
          <w:spacing w:val="-5"/>
          <w:sz w:val="24"/>
          <w:szCs w:val="24"/>
        </w:rPr>
        <w:t xml:space="preserve"> </w:t>
      </w:r>
      <w:r w:rsidRPr="00736ADD">
        <w:rPr>
          <w:sz w:val="24"/>
          <w:szCs w:val="24"/>
        </w:rPr>
        <w:t>England</w:t>
      </w:r>
      <w:r w:rsidRPr="00736ADD">
        <w:rPr>
          <w:spacing w:val="-4"/>
          <w:sz w:val="24"/>
          <w:szCs w:val="24"/>
        </w:rPr>
        <w:t xml:space="preserve"> </w:t>
      </w:r>
      <w:r w:rsidRPr="00736ADD">
        <w:rPr>
          <w:sz w:val="24"/>
          <w:szCs w:val="24"/>
        </w:rPr>
        <w:t>BCHI</w:t>
      </w:r>
      <w:r w:rsidRPr="00736ADD">
        <w:rPr>
          <w:spacing w:val="-5"/>
          <w:sz w:val="24"/>
          <w:szCs w:val="24"/>
        </w:rPr>
        <w:t xml:space="preserve"> </w:t>
      </w:r>
      <w:r w:rsidRPr="00736ADD">
        <w:rPr>
          <w:sz w:val="24"/>
          <w:szCs w:val="24"/>
        </w:rPr>
        <w:t>Commissioning policy</w:t>
      </w:r>
      <w:r w:rsidRPr="00736ADD">
        <w:rPr>
          <w:rStyle w:val="FootnoteReference"/>
          <w:sz w:val="24"/>
          <w:szCs w:val="24"/>
        </w:rPr>
        <w:footnoteReference w:id="4"/>
      </w:r>
      <w:r w:rsidRPr="00736ADD">
        <w:rPr>
          <w:sz w:val="24"/>
          <w:szCs w:val="24"/>
        </w:rPr>
        <w:t>.</w:t>
      </w:r>
    </w:p>
    <w:p w14:paraId="5AEF08B4" w14:textId="77777777" w:rsidR="00E30524" w:rsidRDefault="00E30524" w:rsidP="00663A71">
      <w:pPr>
        <w:jc w:val="both"/>
        <w:rPr>
          <w:rFonts w:ascii="Verdana" w:hAnsi="Verdana"/>
        </w:rPr>
      </w:pPr>
    </w:p>
    <w:p w14:paraId="1F2DD11C" w14:textId="77777777" w:rsidR="00904AEC" w:rsidRPr="00C423EF" w:rsidRDefault="00904AEC" w:rsidP="00904AEC">
      <w:pPr>
        <w:jc w:val="both"/>
        <w:rPr>
          <w:rFonts w:ascii="Verdana" w:hAnsi="Verdana"/>
        </w:rPr>
      </w:pPr>
      <w:r>
        <w:rPr>
          <w:rFonts w:ascii="Verdana" w:hAnsi="Verdana"/>
        </w:rPr>
        <w:t xml:space="preserve">The approach and outcome of all of these processes can be viewed at this link </w:t>
      </w:r>
      <w:hyperlink r:id="rId15" w:history="1">
        <w:r w:rsidR="00C423EF" w:rsidRPr="00C423EF">
          <w:rPr>
            <w:rStyle w:val="Hyperlink"/>
            <w:rFonts w:ascii="Verdana" w:hAnsi="Verdana"/>
            <w:b/>
            <w:spacing w:val="-5"/>
          </w:rPr>
          <w:t>WHSSC.GeneralEnquiries@wales.nhs.uk</w:t>
        </w:r>
      </w:hyperlink>
    </w:p>
    <w:p w14:paraId="3BBBF258" w14:textId="77777777" w:rsidR="004B3EF9" w:rsidRDefault="004B3EF9" w:rsidP="00ED4818">
      <w:pPr>
        <w:jc w:val="both"/>
        <w:rPr>
          <w:rFonts w:ascii="Verdana" w:hAnsi="Verdana"/>
        </w:rPr>
      </w:pPr>
    </w:p>
    <w:p w14:paraId="050476F7" w14:textId="6000405B" w:rsidR="00ED4818" w:rsidRDefault="00ED4818" w:rsidP="00ED4818">
      <w:pPr>
        <w:jc w:val="both"/>
        <w:rPr>
          <w:rFonts w:ascii="Verdana" w:hAnsi="Verdana"/>
        </w:rPr>
      </w:pPr>
      <w:r>
        <w:rPr>
          <w:rFonts w:ascii="Verdana" w:hAnsi="Verdana"/>
        </w:rPr>
        <w:t>Having paid due regard to all three</w:t>
      </w:r>
      <w:r w:rsidRPr="00083FE8">
        <w:rPr>
          <w:rFonts w:ascii="Verdana" w:hAnsi="Verdana"/>
        </w:rPr>
        <w:t xml:space="preserve"> assessments,</w:t>
      </w:r>
      <w:r>
        <w:rPr>
          <w:rFonts w:ascii="Verdana" w:hAnsi="Verdana"/>
        </w:rPr>
        <w:t xml:space="preserve"> and the service standards</w:t>
      </w:r>
      <w:r w:rsidR="00A82C60">
        <w:rPr>
          <w:rFonts w:ascii="Verdana" w:hAnsi="Verdana"/>
        </w:rPr>
        <w:t>, the</w:t>
      </w:r>
      <w:r>
        <w:rPr>
          <w:rFonts w:ascii="Verdana" w:hAnsi="Verdana"/>
        </w:rPr>
        <w:t xml:space="preserve"> only option that meets these requirement is</w:t>
      </w:r>
      <w:r w:rsidR="002927B7">
        <w:rPr>
          <w:rFonts w:ascii="Verdana" w:hAnsi="Verdana"/>
        </w:rPr>
        <w:t>:</w:t>
      </w:r>
    </w:p>
    <w:p w14:paraId="17548E9E" w14:textId="77777777" w:rsidR="00ED4818" w:rsidRDefault="00ED4818" w:rsidP="00ED4818">
      <w:pPr>
        <w:jc w:val="center"/>
        <w:rPr>
          <w:rFonts w:ascii="Verdana" w:hAnsi="Verdana"/>
          <w:b/>
          <w:bCs/>
        </w:rPr>
      </w:pPr>
    </w:p>
    <w:p w14:paraId="21EFEF4F" w14:textId="77777777" w:rsidR="00ED4818" w:rsidRDefault="00ED4818" w:rsidP="00583D6F">
      <w:pPr>
        <w:rPr>
          <w:rFonts w:ascii="Verdana" w:hAnsi="Verdana"/>
          <w:bCs/>
        </w:rPr>
      </w:pPr>
      <w:r w:rsidRPr="00CF25FF">
        <w:rPr>
          <w:rFonts w:ascii="Verdana" w:hAnsi="Verdana"/>
          <w:b/>
          <w:bCs/>
        </w:rPr>
        <w:t>A single implantable Hub with outreach model with a central Multi-Disciplinary Team provision</w:t>
      </w:r>
      <w:r w:rsidR="00E30524" w:rsidRPr="00663A71">
        <w:rPr>
          <w:rFonts w:ascii="Verdana" w:hAnsi="Verdana"/>
          <w:bCs/>
        </w:rPr>
        <w:t xml:space="preserve"> </w:t>
      </w:r>
      <w:r w:rsidR="00904AEC" w:rsidRPr="00663A71">
        <w:rPr>
          <w:rFonts w:ascii="Verdana" w:hAnsi="Verdana"/>
          <w:bCs/>
        </w:rPr>
        <w:t>(note this is called option D in the link above)</w:t>
      </w:r>
      <w:r w:rsidR="002927B7">
        <w:rPr>
          <w:rFonts w:ascii="Verdana" w:hAnsi="Verdana"/>
          <w:bCs/>
        </w:rPr>
        <w:t>.</w:t>
      </w:r>
    </w:p>
    <w:p w14:paraId="0CBC6E1D" w14:textId="77777777" w:rsidR="002927B7" w:rsidRDefault="002927B7" w:rsidP="00583D6F">
      <w:pPr>
        <w:rPr>
          <w:rFonts w:ascii="Verdana" w:hAnsi="Verdana"/>
          <w:bCs/>
        </w:rPr>
      </w:pPr>
    </w:p>
    <w:p w14:paraId="33D8FBCB" w14:textId="445144D3" w:rsidR="002927B7" w:rsidRDefault="002927B7" w:rsidP="00583D6F">
      <w:pPr>
        <w:rPr>
          <w:rFonts w:ascii="Verdana" w:hAnsi="Verdana"/>
          <w:b/>
          <w:bCs/>
        </w:rPr>
      </w:pPr>
      <w:r>
        <w:rPr>
          <w:rFonts w:ascii="Verdana" w:hAnsi="Verdana"/>
          <w:bCs/>
        </w:rPr>
        <w:t xml:space="preserve">This option will comprise: </w:t>
      </w:r>
    </w:p>
    <w:p w14:paraId="2640697F" w14:textId="77777777" w:rsidR="00904AEC" w:rsidRDefault="00904AEC" w:rsidP="00904AEC">
      <w:pPr>
        <w:jc w:val="center"/>
        <w:rPr>
          <w:rFonts w:ascii="Verdana" w:hAnsi="Verdana"/>
        </w:rPr>
      </w:pPr>
    </w:p>
    <w:p w14:paraId="101C034F" w14:textId="77777777" w:rsidR="00ED4818" w:rsidRPr="00B8740D" w:rsidRDefault="00ED4818" w:rsidP="00ED4818">
      <w:pPr>
        <w:pStyle w:val="ListParagraph"/>
        <w:numPr>
          <w:ilvl w:val="0"/>
          <w:numId w:val="7"/>
        </w:numPr>
        <w:jc w:val="both"/>
        <w:rPr>
          <w:rFonts w:ascii="Verdana" w:hAnsi="Verdana"/>
        </w:rPr>
      </w:pPr>
      <w:r w:rsidRPr="00B8740D">
        <w:rPr>
          <w:rFonts w:ascii="Verdana" w:hAnsi="Verdana"/>
        </w:rPr>
        <w:t>A single centre for both children and adults, for the pro</w:t>
      </w:r>
      <w:r w:rsidR="00583D6F">
        <w:rPr>
          <w:rFonts w:ascii="Verdana" w:hAnsi="Verdana"/>
        </w:rPr>
        <w:t>vision and maintenance of both C</w:t>
      </w:r>
      <w:r w:rsidRPr="00B8740D">
        <w:rPr>
          <w:rFonts w:ascii="Verdana" w:hAnsi="Verdana"/>
        </w:rPr>
        <w:t>oc</w:t>
      </w:r>
      <w:r>
        <w:rPr>
          <w:rFonts w:ascii="Verdana" w:hAnsi="Verdana"/>
        </w:rPr>
        <w:t>hlear</w:t>
      </w:r>
      <w:r w:rsidR="00583D6F">
        <w:rPr>
          <w:rFonts w:ascii="Verdana" w:hAnsi="Verdana"/>
        </w:rPr>
        <w:t xml:space="preserve"> Implant</w:t>
      </w:r>
      <w:r>
        <w:rPr>
          <w:rFonts w:ascii="Verdana" w:hAnsi="Verdana"/>
        </w:rPr>
        <w:t xml:space="preserve"> and BCHI</w:t>
      </w:r>
      <w:r w:rsidRPr="00B8740D">
        <w:rPr>
          <w:rFonts w:ascii="Verdana" w:hAnsi="Verdana"/>
        </w:rPr>
        <w:t xml:space="preserve">, </w:t>
      </w:r>
      <w:r w:rsidRPr="00B8740D">
        <w:rPr>
          <w:rFonts w:ascii="Verdana" w:hAnsi="Verdana" w:cs="Arial"/>
        </w:rPr>
        <w:t xml:space="preserve">ensuring that the delivery model provides a </w:t>
      </w:r>
      <w:r w:rsidRPr="00B8740D">
        <w:rPr>
          <w:rFonts w:ascii="Verdana" w:hAnsi="Verdana"/>
        </w:rPr>
        <w:t>safe and sustainable hearing implant device service, which me</w:t>
      </w:r>
      <w:r w:rsidR="00583D6F">
        <w:rPr>
          <w:rFonts w:ascii="Verdana" w:hAnsi="Verdana"/>
        </w:rPr>
        <w:t>ets national standards for the S</w:t>
      </w:r>
      <w:r w:rsidRPr="00B8740D">
        <w:rPr>
          <w:rFonts w:ascii="Verdana" w:hAnsi="Verdana"/>
        </w:rPr>
        <w:t xml:space="preserve">outh </w:t>
      </w:r>
      <w:r w:rsidR="00583D6F">
        <w:rPr>
          <w:rFonts w:ascii="Verdana" w:hAnsi="Verdana"/>
        </w:rPr>
        <w:t xml:space="preserve">East </w:t>
      </w:r>
      <w:r w:rsidRPr="00B8740D">
        <w:rPr>
          <w:rFonts w:ascii="Verdana" w:hAnsi="Verdana"/>
        </w:rPr>
        <w:t>Wales</w:t>
      </w:r>
      <w:r w:rsidR="00583D6F">
        <w:rPr>
          <w:rFonts w:ascii="Verdana" w:hAnsi="Verdana"/>
        </w:rPr>
        <w:t>, South West Wales and South Powys</w:t>
      </w:r>
      <w:r w:rsidRPr="00B8740D">
        <w:rPr>
          <w:rFonts w:ascii="Verdana" w:hAnsi="Verdana"/>
        </w:rPr>
        <w:t xml:space="preserve">.  </w:t>
      </w:r>
    </w:p>
    <w:p w14:paraId="1DB79CD5" w14:textId="77777777" w:rsidR="00ED4818" w:rsidRPr="00443AC5" w:rsidRDefault="00ED4818" w:rsidP="00ED4818">
      <w:pPr>
        <w:jc w:val="both"/>
        <w:rPr>
          <w:rFonts w:ascii="Verdana" w:hAnsi="Verdana"/>
        </w:rPr>
      </w:pPr>
    </w:p>
    <w:p w14:paraId="28085486" w14:textId="349F7316" w:rsidR="00ED4818" w:rsidRPr="00B8740D" w:rsidRDefault="002927B7" w:rsidP="00ED4818">
      <w:pPr>
        <w:pStyle w:val="ListParagraph"/>
        <w:numPr>
          <w:ilvl w:val="0"/>
          <w:numId w:val="7"/>
        </w:numPr>
        <w:jc w:val="both"/>
        <w:rPr>
          <w:rFonts w:ascii="Verdana" w:hAnsi="Verdana" w:cs="Arial"/>
        </w:rPr>
      </w:pPr>
      <w:r>
        <w:rPr>
          <w:rFonts w:ascii="Verdana" w:hAnsi="Verdana"/>
        </w:rPr>
        <w:t>A</w:t>
      </w:r>
      <w:r w:rsidR="00ED4818" w:rsidRPr="00B8740D">
        <w:rPr>
          <w:rFonts w:ascii="Verdana" w:hAnsi="Verdana"/>
        </w:rPr>
        <w:t xml:space="preserve"> central hub with an outreach service. </w:t>
      </w:r>
      <w:r w:rsidR="00ED4818" w:rsidRPr="00B8740D">
        <w:rPr>
          <w:rFonts w:ascii="Verdana" w:hAnsi="Verdana" w:cs="Arial"/>
        </w:rPr>
        <w:t>This supports the establishment of a central M</w:t>
      </w:r>
      <w:r w:rsidR="00E46CDA">
        <w:rPr>
          <w:rFonts w:ascii="Verdana" w:hAnsi="Verdana" w:cs="Arial"/>
        </w:rPr>
        <w:t>ulti-disciplinary Team (MDT)</w:t>
      </w:r>
      <w:r w:rsidR="00ED4818" w:rsidRPr="00B8740D">
        <w:rPr>
          <w:rFonts w:ascii="Verdana" w:hAnsi="Verdana" w:cs="Arial"/>
        </w:rPr>
        <w:t xml:space="preserve"> where all referrals are discussed and planned for and where patients will be able to be offered access to all types of commissioned implants.</w:t>
      </w:r>
    </w:p>
    <w:p w14:paraId="629F548C" w14:textId="77777777" w:rsidR="00ED4818" w:rsidRPr="00443AC5" w:rsidRDefault="00ED4818" w:rsidP="00ED4818">
      <w:pPr>
        <w:jc w:val="both"/>
        <w:rPr>
          <w:rFonts w:ascii="Verdana" w:hAnsi="Verdana" w:cs="Arial"/>
        </w:rPr>
      </w:pPr>
    </w:p>
    <w:p w14:paraId="157B5DB9" w14:textId="2DA0E257" w:rsidR="00ED4818" w:rsidRPr="001E0A30" w:rsidRDefault="00EA58E9" w:rsidP="001E0A30">
      <w:pPr>
        <w:ind w:left="360"/>
        <w:jc w:val="both"/>
        <w:rPr>
          <w:rFonts w:ascii="Verdana" w:hAnsi="Verdana" w:cs="Arial"/>
        </w:rPr>
      </w:pPr>
      <w:r>
        <w:rPr>
          <w:rFonts w:ascii="Verdana" w:hAnsi="Verdana" w:cs="Arial"/>
        </w:rPr>
        <w:t>I</w:t>
      </w:r>
      <w:r w:rsidR="002927B7">
        <w:rPr>
          <w:rFonts w:ascii="Verdana" w:hAnsi="Verdana" w:cs="Arial"/>
        </w:rPr>
        <w:t>t will</w:t>
      </w:r>
      <w:r w:rsidR="00ED4818" w:rsidRPr="001E0A30">
        <w:rPr>
          <w:rFonts w:ascii="Verdana" w:hAnsi="Verdana" w:cs="Arial"/>
        </w:rPr>
        <w:t xml:space="preserve"> facilitate timely and equitable access to surgery and provide life management and care for these patients offering care closer to home with the establishment of outreach clinics across the region.</w:t>
      </w:r>
    </w:p>
    <w:p w14:paraId="38C73409" w14:textId="77777777" w:rsidR="008E1410" w:rsidRDefault="008E1410" w:rsidP="008E1410">
      <w:pPr>
        <w:jc w:val="both"/>
        <w:rPr>
          <w:rFonts w:ascii="Verdana" w:hAnsi="Verdana"/>
        </w:rPr>
      </w:pPr>
    </w:p>
    <w:p w14:paraId="4D240F17" w14:textId="77777777" w:rsidR="008E1410" w:rsidRDefault="008E1410" w:rsidP="008E1410">
      <w:pPr>
        <w:jc w:val="both"/>
        <w:rPr>
          <w:rFonts w:ascii="Verdana" w:hAnsi="Verdana"/>
        </w:rPr>
      </w:pPr>
      <w:r>
        <w:rPr>
          <w:rFonts w:ascii="Verdana" w:hAnsi="Verdana"/>
        </w:rPr>
        <w:lastRenderedPageBreak/>
        <w:t>The proposed delivery model must</w:t>
      </w:r>
      <w:r w:rsidR="005213CE">
        <w:rPr>
          <w:rFonts w:ascii="Verdana" w:hAnsi="Verdana"/>
        </w:rPr>
        <w:t xml:space="preserve"> be able to</w:t>
      </w:r>
      <w:r>
        <w:rPr>
          <w:rFonts w:ascii="Verdana" w:hAnsi="Verdana"/>
        </w:rPr>
        <w:t>:</w:t>
      </w:r>
    </w:p>
    <w:p w14:paraId="7B63CCAE" w14:textId="77777777" w:rsidR="00E30524" w:rsidRDefault="00E30524" w:rsidP="008E1410">
      <w:pPr>
        <w:jc w:val="both"/>
        <w:rPr>
          <w:rFonts w:ascii="Verdana" w:hAnsi="Verdana"/>
        </w:rPr>
      </w:pPr>
    </w:p>
    <w:p w14:paraId="3EB01B8F" w14:textId="3BF7382D" w:rsidR="008E1410" w:rsidRPr="00780577" w:rsidRDefault="008E1410" w:rsidP="008E1410">
      <w:pPr>
        <w:pStyle w:val="ListParagraph"/>
        <w:numPr>
          <w:ilvl w:val="0"/>
          <w:numId w:val="4"/>
        </w:numPr>
        <w:jc w:val="both"/>
        <w:rPr>
          <w:rFonts w:ascii="Verdana" w:hAnsi="Verdana"/>
        </w:rPr>
      </w:pPr>
      <w:r w:rsidRPr="00780577">
        <w:rPr>
          <w:rFonts w:ascii="Verdana" w:hAnsi="Verdana"/>
          <w:bCs/>
        </w:rPr>
        <w:t>Accept referrals based on agreed criteria e.g. The National Institute for Health and Care Excellence (NICE)/Commissioning Policy</w:t>
      </w:r>
      <w:r w:rsidR="007B4EA6">
        <w:rPr>
          <w:rFonts w:ascii="Verdana" w:hAnsi="Verdana"/>
          <w:bCs/>
        </w:rPr>
        <w:t>,</w:t>
      </w:r>
      <w:r w:rsidR="00583D6F">
        <w:rPr>
          <w:rFonts w:ascii="Verdana" w:hAnsi="Verdana"/>
          <w:bCs/>
        </w:rPr>
        <w:t xml:space="preserve"> </w:t>
      </w:r>
      <w:r w:rsidR="00583D6F">
        <w:rPr>
          <w:rStyle w:val="FootnoteReference"/>
          <w:rFonts w:ascii="Verdana" w:hAnsi="Verdana"/>
          <w:bCs/>
        </w:rPr>
        <w:footnoteReference w:id="5"/>
      </w:r>
    </w:p>
    <w:p w14:paraId="051E099B" w14:textId="1094F380" w:rsidR="008E1410" w:rsidRPr="006834EA" w:rsidRDefault="002029DE" w:rsidP="008E1410">
      <w:pPr>
        <w:pStyle w:val="ListParagraph"/>
        <w:numPr>
          <w:ilvl w:val="0"/>
          <w:numId w:val="3"/>
        </w:numPr>
        <w:rPr>
          <w:rFonts w:ascii="Verdana" w:hAnsi="Verdana"/>
        </w:rPr>
      </w:pPr>
      <w:r>
        <w:rPr>
          <w:rFonts w:ascii="Verdana" w:hAnsi="Verdana"/>
          <w:bCs/>
        </w:rPr>
        <w:t>Be able to provide full Audio</w:t>
      </w:r>
      <w:r w:rsidR="008E1410" w:rsidRPr="006834EA">
        <w:rPr>
          <w:rFonts w:ascii="Verdana" w:hAnsi="Verdana"/>
          <w:bCs/>
        </w:rPr>
        <w:t>logical care for patients across the pathway including assessment, surgery, and device programming</w:t>
      </w:r>
      <w:r w:rsidR="007B4EA6">
        <w:rPr>
          <w:rFonts w:ascii="Verdana" w:hAnsi="Verdana"/>
          <w:bCs/>
        </w:rPr>
        <w:t>,</w:t>
      </w:r>
    </w:p>
    <w:p w14:paraId="6C632BD0" w14:textId="328F22A4" w:rsidR="008E1410" w:rsidRPr="006834EA" w:rsidRDefault="008E1410" w:rsidP="008E1410">
      <w:pPr>
        <w:pStyle w:val="ListParagraph"/>
        <w:numPr>
          <w:ilvl w:val="0"/>
          <w:numId w:val="3"/>
        </w:numPr>
        <w:rPr>
          <w:rFonts w:ascii="Verdana" w:hAnsi="Verdana"/>
        </w:rPr>
      </w:pPr>
      <w:r w:rsidRPr="006834EA">
        <w:rPr>
          <w:rFonts w:ascii="Verdana" w:hAnsi="Verdana"/>
          <w:bCs/>
        </w:rPr>
        <w:t>Be able to offer access to all types of commissioned hearing implant</w:t>
      </w:r>
      <w:r w:rsidR="002927B7">
        <w:rPr>
          <w:rFonts w:ascii="Verdana" w:hAnsi="Verdana"/>
          <w:bCs/>
        </w:rPr>
        <w:t>s</w:t>
      </w:r>
      <w:r w:rsidR="007B4EA6">
        <w:rPr>
          <w:rFonts w:ascii="Verdana" w:hAnsi="Verdana"/>
          <w:bCs/>
        </w:rPr>
        <w:t>,</w:t>
      </w:r>
    </w:p>
    <w:p w14:paraId="3394C6B8" w14:textId="0B6CE573" w:rsidR="008E1410" w:rsidRPr="006834EA" w:rsidRDefault="008E1410" w:rsidP="008E1410">
      <w:pPr>
        <w:pStyle w:val="ListParagraph"/>
        <w:numPr>
          <w:ilvl w:val="0"/>
          <w:numId w:val="3"/>
        </w:numPr>
        <w:rPr>
          <w:rFonts w:ascii="Verdana" w:hAnsi="Verdana"/>
        </w:rPr>
      </w:pPr>
      <w:r w:rsidRPr="006834EA">
        <w:rPr>
          <w:rFonts w:ascii="Verdana" w:hAnsi="Verdana"/>
          <w:bCs/>
        </w:rPr>
        <w:t>Have a functioning M</w:t>
      </w:r>
      <w:r>
        <w:rPr>
          <w:rFonts w:ascii="Verdana" w:hAnsi="Verdana"/>
          <w:bCs/>
        </w:rPr>
        <w:t>ulti-Disciplinary Team (M</w:t>
      </w:r>
      <w:r w:rsidRPr="006834EA">
        <w:rPr>
          <w:rFonts w:ascii="Verdana" w:hAnsi="Verdana"/>
          <w:bCs/>
        </w:rPr>
        <w:t>DT</w:t>
      </w:r>
      <w:r>
        <w:rPr>
          <w:rFonts w:ascii="Verdana" w:hAnsi="Verdana"/>
          <w:bCs/>
        </w:rPr>
        <w:t>)</w:t>
      </w:r>
      <w:r w:rsidRPr="006834EA">
        <w:rPr>
          <w:rFonts w:ascii="Verdana" w:hAnsi="Verdana"/>
          <w:bCs/>
        </w:rPr>
        <w:t xml:space="preserve"> where all referrals are discussed and planned for</w:t>
      </w:r>
      <w:r w:rsidR="007B4EA6">
        <w:rPr>
          <w:rFonts w:ascii="Verdana" w:hAnsi="Verdana"/>
          <w:bCs/>
        </w:rPr>
        <w:t>,</w:t>
      </w:r>
    </w:p>
    <w:p w14:paraId="6D9859EE" w14:textId="597556C0" w:rsidR="008E1410" w:rsidRPr="00CB2AA7" w:rsidRDefault="008E1410" w:rsidP="008E1410">
      <w:pPr>
        <w:pStyle w:val="ListParagraph"/>
        <w:numPr>
          <w:ilvl w:val="0"/>
          <w:numId w:val="3"/>
        </w:numPr>
        <w:rPr>
          <w:rFonts w:ascii="Verdana" w:hAnsi="Verdana"/>
        </w:rPr>
      </w:pPr>
      <w:r w:rsidRPr="006834EA">
        <w:rPr>
          <w:rFonts w:ascii="Verdana" w:hAnsi="Verdana"/>
          <w:bCs/>
        </w:rPr>
        <w:t>Facilitate timely access to surgery</w:t>
      </w:r>
      <w:r w:rsidR="007B4EA6">
        <w:rPr>
          <w:rFonts w:ascii="Verdana" w:hAnsi="Verdana"/>
          <w:bCs/>
        </w:rPr>
        <w:t>,</w:t>
      </w:r>
    </w:p>
    <w:p w14:paraId="08BEFE8B" w14:textId="624233DE" w:rsidR="008E1410" w:rsidRPr="006834EA" w:rsidRDefault="008E1410" w:rsidP="008E1410">
      <w:pPr>
        <w:pStyle w:val="ListParagraph"/>
        <w:numPr>
          <w:ilvl w:val="0"/>
          <w:numId w:val="3"/>
        </w:numPr>
        <w:rPr>
          <w:rFonts w:ascii="Verdana" w:hAnsi="Verdana"/>
        </w:rPr>
      </w:pPr>
      <w:r w:rsidRPr="006834EA">
        <w:rPr>
          <w:rFonts w:ascii="Verdana" w:hAnsi="Verdana"/>
          <w:bCs/>
        </w:rPr>
        <w:t>Facilitate rapid access to a</w:t>
      </w:r>
      <w:r w:rsidR="00BC6B8E">
        <w:rPr>
          <w:rFonts w:ascii="Verdana" w:hAnsi="Verdana"/>
          <w:bCs/>
        </w:rPr>
        <w:t>n Audiologist</w:t>
      </w:r>
      <w:r w:rsidRPr="006834EA">
        <w:rPr>
          <w:rFonts w:ascii="Verdana" w:hAnsi="Verdana"/>
          <w:bCs/>
        </w:rPr>
        <w:t xml:space="preserve"> when device failure is suspected</w:t>
      </w:r>
      <w:r w:rsidR="007B4EA6">
        <w:rPr>
          <w:rFonts w:ascii="Verdana" w:hAnsi="Verdana"/>
          <w:bCs/>
        </w:rPr>
        <w:t>,</w:t>
      </w:r>
    </w:p>
    <w:p w14:paraId="2237D05F" w14:textId="1E1FF40B" w:rsidR="008E1410" w:rsidRPr="006834EA" w:rsidRDefault="008E1410" w:rsidP="008E1410">
      <w:pPr>
        <w:pStyle w:val="ListParagraph"/>
        <w:numPr>
          <w:ilvl w:val="0"/>
          <w:numId w:val="3"/>
        </w:numPr>
        <w:rPr>
          <w:rFonts w:ascii="Verdana" w:hAnsi="Verdana"/>
        </w:rPr>
      </w:pPr>
      <w:r w:rsidRPr="006834EA">
        <w:rPr>
          <w:rFonts w:ascii="Verdana" w:hAnsi="Verdana"/>
          <w:bCs/>
        </w:rPr>
        <w:t>Provide equitable and lifelong access</w:t>
      </w:r>
      <w:r w:rsidR="007B4EA6">
        <w:rPr>
          <w:rFonts w:ascii="Verdana" w:hAnsi="Verdana"/>
          <w:bCs/>
        </w:rPr>
        <w:t>,</w:t>
      </w:r>
    </w:p>
    <w:p w14:paraId="524196FD" w14:textId="796F154D" w:rsidR="008E1410" w:rsidRPr="006834EA" w:rsidRDefault="008E1410" w:rsidP="008E1410">
      <w:pPr>
        <w:pStyle w:val="ListParagraph"/>
        <w:numPr>
          <w:ilvl w:val="0"/>
          <w:numId w:val="3"/>
        </w:numPr>
        <w:rPr>
          <w:rFonts w:ascii="Verdana" w:hAnsi="Verdana"/>
        </w:rPr>
      </w:pPr>
      <w:r w:rsidRPr="006834EA">
        <w:rPr>
          <w:rFonts w:ascii="Verdana" w:hAnsi="Verdana"/>
          <w:bCs/>
        </w:rPr>
        <w:t>Have clear governance processes</w:t>
      </w:r>
      <w:r w:rsidR="007B4EA6">
        <w:rPr>
          <w:rFonts w:ascii="Verdana" w:hAnsi="Verdana"/>
          <w:bCs/>
        </w:rPr>
        <w:t>,</w:t>
      </w:r>
    </w:p>
    <w:p w14:paraId="394A56E1" w14:textId="3FE3B7C4" w:rsidR="008E1410" w:rsidRPr="006834EA" w:rsidRDefault="008E1410" w:rsidP="008E1410">
      <w:pPr>
        <w:pStyle w:val="ListParagraph"/>
        <w:numPr>
          <w:ilvl w:val="0"/>
          <w:numId w:val="3"/>
        </w:numPr>
        <w:rPr>
          <w:rFonts w:ascii="Verdana" w:hAnsi="Verdana"/>
        </w:rPr>
      </w:pPr>
      <w:r w:rsidRPr="006834EA">
        <w:rPr>
          <w:rFonts w:ascii="Verdana" w:hAnsi="Verdana"/>
          <w:bCs/>
        </w:rPr>
        <w:t>Facilitate effective liaison with relevant local services</w:t>
      </w:r>
      <w:r w:rsidR="002927B7">
        <w:rPr>
          <w:rFonts w:ascii="Verdana" w:hAnsi="Verdana"/>
          <w:bCs/>
        </w:rPr>
        <w:t>,</w:t>
      </w:r>
      <w:r w:rsidRPr="006834EA">
        <w:rPr>
          <w:rFonts w:ascii="Verdana" w:hAnsi="Verdana"/>
          <w:bCs/>
        </w:rPr>
        <w:t xml:space="preserve"> and</w:t>
      </w:r>
    </w:p>
    <w:p w14:paraId="73F3CFF3" w14:textId="0D111202" w:rsidR="008E1410" w:rsidRPr="006834EA" w:rsidRDefault="008E1410" w:rsidP="008E1410">
      <w:pPr>
        <w:pStyle w:val="ListParagraph"/>
        <w:numPr>
          <w:ilvl w:val="0"/>
          <w:numId w:val="3"/>
        </w:numPr>
        <w:rPr>
          <w:rFonts w:ascii="Verdana" w:hAnsi="Verdana"/>
        </w:rPr>
      </w:pPr>
      <w:r w:rsidRPr="006834EA">
        <w:rPr>
          <w:rFonts w:ascii="Verdana" w:hAnsi="Verdana"/>
          <w:bCs/>
        </w:rPr>
        <w:t>Pub</w:t>
      </w:r>
      <w:r w:rsidR="00E22FE4">
        <w:rPr>
          <w:rFonts w:ascii="Verdana" w:hAnsi="Verdana"/>
          <w:bCs/>
        </w:rPr>
        <w:t>lish data on audit and outcomes.</w:t>
      </w:r>
    </w:p>
    <w:p w14:paraId="6B7D91CA" w14:textId="77777777" w:rsidR="00CB2AA7" w:rsidRPr="004D57E7" w:rsidRDefault="00CB2AA7" w:rsidP="00CB2AA7">
      <w:pPr>
        <w:jc w:val="both"/>
        <w:rPr>
          <w:rFonts w:ascii="Verdana" w:hAnsi="Verdana"/>
        </w:rPr>
      </w:pPr>
    </w:p>
    <w:p w14:paraId="4B4EDD9B" w14:textId="794C2FB5" w:rsidR="00CB2AA7" w:rsidRDefault="002927B7" w:rsidP="008E1410">
      <w:pPr>
        <w:jc w:val="both"/>
        <w:rPr>
          <w:rFonts w:ascii="Verdana" w:hAnsi="Verdana"/>
        </w:rPr>
      </w:pPr>
      <w:r>
        <w:rPr>
          <w:rFonts w:ascii="Verdana" w:hAnsi="Verdana"/>
        </w:rPr>
        <w:t>A</w:t>
      </w:r>
      <w:r w:rsidRPr="00083FE8">
        <w:rPr>
          <w:rFonts w:ascii="Verdana" w:hAnsi="Verdana"/>
        </w:rPr>
        <w:t xml:space="preserve">s </w:t>
      </w:r>
      <w:r>
        <w:rPr>
          <w:rFonts w:ascii="Verdana" w:hAnsi="Verdana"/>
        </w:rPr>
        <w:t>commissioner of the service, t</w:t>
      </w:r>
      <w:r w:rsidR="00E46CDA">
        <w:rPr>
          <w:rFonts w:ascii="Verdana" w:hAnsi="Verdana"/>
        </w:rPr>
        <w:t xml:space="preserve">he </w:t>
      </w:r>
      <w:r w:rsidR="00CB2AA7">
        <w:rPr>
          <w:rFonts w:ascii="Verdana" w:hAnsi="Verdana"/>
        </w:rPr>
        <w:t>Welsh Health Specialised Services</w:t>
      </w:r>
      <w:r w:rsidR="00CB2AA7" w:rsidRPr="00083FE8">
        <w:rPr>
          <w:rFonts w:ascii="Verdana" w:hAnsi="Verdana"/>
        </w:rPr>
        <w:t xml:space="preserve"> </w:t>
      </w:r>
      <w:r w:rsidR="00E46CDA">
        <w:rPr>
          <w:rFonts w:ascii="Verdana" w:hAnsi="Verdana"/>
        </w:rPr>
        <w:t>Committee</w:t>
      </w:r>
      <w:r w:rsidR="00583D6F">
        <w:rPr>
          <w:rFonts w:ascii="Verdana" w:hAnsi="Verdana"/>
        </w:rPr>
        <w:t xml:space="preserve"> (WHSSC</w:t>
      </w:r>
      <w:r w:rsidR="00EA58E9">
        <w:rPr>
          <w:rFonts w:ascii="Verdana" w:hAnsi="Verdana"/>
        </w:rPr>
        <w:t>)</w:t>
      </w:r>
      <w:r w:rsidR="00E46CDA">
        <w:rPr>
          <w:rFonts w:ascii="Verdana" w:hAnsi="Verdana"/>
        </w:rPr>
        <w:t xml:space="preserve"> </w:t>
      </w:r>
      <w:r w:rsidR="00CB2AA7">
        <w:rPr>
          <w:rFonts w:ascii="Verdana" w:hAnsi="Verdana"/>
        </w:rPr>
        <w:t xml:space="preserve">has responsibility to ensure the provision of high quality specialist services for the </w:t>
      </w:r>
      <w:r w:rsidR="00E46CDA">
        <w:rPr>
          <w:rFonts w:ascii="Verdana" w:hAnsi="Verdana"/>
        </w:rPr>
        <w:t>W</w:t>
      </w:r>
      <w:r w:rsidR="00CB2AA7">
        <w:rPr>
          <w:rFonts w:ascii="Verdana" w:hAnsi="Verdana"/>
        </w:rPr>
        <w:t>elsh population</w:t>
      </w:r>
      <w:r>
        <w:rPr>
          <w:rFonts w:ascii="Verdana" w:hAnsi="Verdana"/>
        </w:rPr>
        <w:t>, which it</w:t>
      </w:r>
      <w:r w:rsidR="00CB2AA7">
        <w:rPr>
          <w:rFonts w:ascii="Verdana" w:hAnsi="Verdana"/>
        </w:rPr>
        <w:t xml:space="preserve"> will commission these in line with </w:t>
      </w:r>
      <w:r w:rsidR="00E46CDA">
        <w:rPr>
          <w:rFonts w:ascii="Verdana" w:hAnsi="Verdana"/>
        </w:rPr>
        <w:t xml:space="preserve">the </w:t>
      </w:r>
      <w:r w:rsidR="00CB2AA7">
        <w:rPr>
          <w:rFonts w:ascii="Verdana" w:hAnsi="Verdana"/>
        </w:rPr>
        <w:t xml:space="preserve">agreed service standards.  </w:t>
      </w:r>
    </w:p>
    <w:p w14:paraId="0ED2D123" w14:textId="595B54E5" w:rsidR="005213CE" w:rsidRPr="0078124B" w:rsidRDefault="004B3EF9" w:rsidP="005213CE">
      <w:pPr>
        <w:pStyle w:val="ListParagraph"/>
        <w:numPr>
          <w:ilvl w:val="0"/>
          <w:numId w:val="1"/>
        </w:numPr>
        <w:spacing w:before="100" w:beforeAutospacing="1" w:after="100" w:afterAutospacing="1"/>
        <w:jc w:val="both"/>
        <w:rPr>
          <w:rFonts w:ascii="Verdana" w:hAnsi="Verdana"/>
          <w:b/>
          <w:color w:val="000000"/>
        </w:rPr>
      </w:pPr>
      <w:r>
        <w:rPr>
          <w:rFonts w:ascii="Verdana" w:hAnsi="Verdana"/>
          <w:b/>
          <w:color w:val="000000"/>
        </w:rPr>
        <w:t>H</w:t>
      </w:r>
      <w:r w:rsidR="005213CE" w:rsidRPr="005213CE">
        <w:rPr>
          <w:rFonts w:ascii="Verdana" w:hAnsi="Verdana"/>
          <w:b/>
          <w:color w:val="000000"/>
        </w:rPr>
        <w:t>OW WILL IT BE DELIVERED</w:t>
      </w:r>
    </w:p>
    <w:p w14:paraId="143BAFF7" w14:textId="77777777" w:rsidR="0078124B" w:rsidRPr="0078124B" w:rsidRDefault="0078124B" w:rsidP="00EA58E9">
      <w:pPr>
        <w:spacing w:line="259" w:lineRule="auto"/>
        <w:ind w:right="295"/>
        <w:jc w:val="both"/>
        <w:rPr>
          <w:rFonts w:ascii="Verdana" w:hAnsi="Verdana"/>
        </w:rPr>
      </w:pPr>
      <w:r w:rsidRPr="0078124B">
        <w:rPr>
          <w:rFonts w:ascii="Verdana" w:hAnsi="Verdana"/>
        </w:rPr>
        <w:t xml:space="preserve">Having considered all three assessments, WHSSC have concluded that </w:t>
      </w:r>
    </w:p>
    <w:p w14:paraId="50DA59CA" w14:textId="77777777" w:rsidR="0078124B" w:rsidRPr="0078124B" w:rsidRDefault="0078124B" w:rsidP="00EA58E9">
      <w:pPr>
        <w:spacing w:line="259" w:lineRule="auto"/>
        <w:ind w:right="295"/>
        <w:jc w:val="both"/>
        <w:rPr>
          <w:rFonts w:ascii="Verdana" w:hAnsi="Verdana"/>
        </w:rPr>
      </w:pPr>
      <w:r w:rsidRPr="0078124B">
        <w:rPr>
          <w:rFonts w:ascii="Verdana" w:hAnsi="Verdana"/>
          <w:b/>
        </w:rPr>
        <w:t>Option D,</w:t>
      </w:r>
      <w:r w:rsidRPr="0078124B">
        <w:rPr>
          <w:rFonts w:ascii="Verdana" w:hAnsi="Verdana"/>
          <w:b/>
          <w:spacing w:val="-16"/>
        </w:rPr>
        <w:t xml:space="preserve"> </w:t>
      </w:r>
      <w:r w:rsidRPr="0078124B">
        <w:rPr>
          <w:rFonts w:ascii="Verdana" w:hAnsi="Verdana"/>
          <w:b/>
        </w:rPr>
        <w:t>a</w:t>
      </w:r>
      <w:r w:rsidRPr="0078124B">
        <w:rPr>
          <w:rFonts w:ascii="Verdana" w:hAnsi="Verdana"/>
          <w:b/>
          <w:spacing w:val="-15"/>
        </w:rPr>
        <w:t xml:space="preserve"> </w:t>
      </w:r>
      <w:r w:rsidRPr="0078124B">
        <w:rPr>
          <w:rFonts w:ascii="Verdana" w:hAnsi="Verdana"/>
          <w:b/>
        </w:rPr>
        <w:t>single</w:t>
      </w:r>
      <w:r w:rsidRPr="0078124B">
        <w:rPr>
          <w:rFonts w:ascii="Verdana" w:hAnsi="Verdana"/>
          <w:b/>
          <w:spacing w:val="-17"/>
        </w:rPr>
        <w:t xml:space="preserve"> </w:t>
      </w:r>
      <w:r w:rsidRPr="0078124B">
        <w:rPr>
          <w:rFonts w:ascii="Verdana" w:hAnsi="Verdana"/>
          <w:b/>
        </w:rPr>
        <w:t>implantable</w:t>
      </w:r>
      <w:r w:rsidRPr="0078124B">
        <w:rPr>
          <w:rFonts w:ascii="Verdana" w:hAnsi="Verdana"/>
          <w:b/>
          <w:spacing w:val="-17"/>
        </w:rPr>
        <w:t xml:space="preserve"> </w:t>
      </w:r>
      <w:r w:rsidRPr="0078124B">
        <w:rPr>
          <w:rFonts w:ascii="Verdana" w:hAnsi="Verdana"/>
          <w:b/>
        </w:rPr>
        <w:t>device</w:t>
      </w:r>
      <w:r w:rsidRPr="0078124B">
        <w:rPr>
          <w:rFonts w:ascii="Verdana" w:hAnsi="Verdana"/>
          <w:b/>
          <w:spacing w:val="-17"/>
        </w:rPr>
        <w:t xml:space="preserve"> </w:t>
      </w:r>
      <w:r w:rsidRPr="0078124B">
        <w:rPr>
          <w:rFonts w:ascii="Verdana" w:hAnsi="Verdana"/>
          <w:b/>
        </w:rPr>
        <w:t>hub</w:t>
      </w:r>
      <w:r w:rsidRPr="0078124B">
        <w:rPr>
          <w:rFonts w:ascii="Verdana" w:hAnsi="Verdana"/>
          <w:b/>
          <w:spacing w:val="-15"/>
        </w:rPr>
        <w:t xml:space="preserve"> </w:t>
      </w:r>
      <w:r w:rsidRPr="0078124B">
        <w:rPr>
          <w:rFonts w:ascii="Verdana" w:hAnsi="Verdana"/>
          <w:b/>
        </w:rPr>
        <w:t>for</w:t>
      </w:r>
      <w:r w:rsidRPr="0078124B">
        <w:rPr>
          <w:rFonts w:ascii="Verdana" w:hAnsi="Verdana"/>
          <w:b/>
          <w:spacing w:val="-16"/>
        </w:rPr>
        <w:t xml:space="preserve"> </w:t>
      </w:r>
      <w:r w:rsidRPr="0078124B">
        <w:rPr>
          <w:rFonts w:ascii="Verdana" w:hAnsi="Verdana"/>
          <w:b/>
        </w:rPr>
        <w:t>both</w:t>
      </w:r>
      <w:r w:rsidRPr="0078124B">
        <w:rPr>
          <w:rFonts w:ascii="Verdana" w:hAnsi="Verdana"/>
          <w:b/>
          <w:spacing w:val="-18"/>
        </w:rPr>
        <w:t xml:space="preserve"> </w:t>
      </w:r>
      <w:r w:rsidRPr="0078124B">
        <w:rPr>
          <w:rFonts w:ascii="Verdana" w:hAnsi="Verdana"/>
          <w:b/>
        </w:rPr>
        <w:t>children</w:t>
      </w:r>
      <w:r w:rsidRPr="0078124B">
        <w:rPr>
          <w:rFonts w:ascii="Verdana" w:hAnsi="Verdana"/>
          <w:b/>
          <w:spacing w:val="-18"/>
        </w:rPr>
        <w:t xml:space="preserve"> </w:t>
      </w:r>
      <w:r w:rsidRPr="0078124B">
        <w:rPr>
          <w:rFonts w:ascii="Verdana" w:hAnsi="Verdana"/>
          <w:b/>
        </w:rPr>
        <w:t>and</w:t>
      </w:r>
      <w:r w:rsidRPr="0078124B">
        <w:rPr>
          <w:rFonts w:ascii="Verdana" w:hAnsi="Verdana"/>
          <w:b/>
          <w:spacing w:val="-17"/>
        </w:rPr>
        <w:t xml:space="preserve"> </w:t>
      </w:r>
      <w:r w:rsidRPr="0078124B">
        <w:rPr>
          <w:rFonts w:ascii="Verdana" w:hAnsi="Verdana"/>
          <w:b/>
        </w:rPr>
        <w:t>adults with</w:t>
      </w:r>
      <w:r w:rsidRPr="0078124B">
        <w:rPr>
          <w:rFonts w:ascii="Verdana" w:hAnsi="Verdana"/>
          <w:b/>
          <w:spacing w:val="-20"/>
        </w:rPr>
        <w:t xml:space="preserve"> </w:t>
      </w:r>
      <w:r w:rsidRPr="0078124B">
        <w:rPr>
          <w:rFonts w:ascii="Verdana" w:hAnsi="Verdana"/>
          <w:b/>
        </w:rPr>
        <w:t>an</w:t>
      </w:r>
      <w:r w:rsidRPr="0078124B">
        <w:rPr>
          <w:rFonts w:ascii="Verdana" w:hAnsi="Verdana"/>
          <w:b/>
          <w:spacing w:val="-20"/>
        </w:rPr>
        <w:t xml:space="preserve"> </w:t>
      </w:r>
      <w:r w:rsidRPr="0078124B">
        <w:rPr>
          <w:rFonts w:ascii="Verdana" w:hAnsi="Verdana"/>
          <w:b/>
        </w:rPr>
        <w:t>outreach</w:t>
      </w:r>
      <w:r w:rsidRPr="0078124B">
        <w:rPr>
          <w:rFonts w:ascii="Verdana" w:hAnsi="Verdana"/>
          <w:b/>
          <w:spacing w:val="-20"/>
        </w:rPr>
        <w:t xml:space="preserve"> </w:t>
      </w:r>
      <w:r w:rsidRPr="0078124B">
        <w:rPr>
          <w:rFonts w:ascii="Verdana" w:hAnsi="Verdana"/>
          <w:b/>
        </w:rPr>
        <w:t>support</w:t>
      </w:r>
      <w:r w:rsidRPr="0078124B">
        <w:rPr>
          <w:rFonts w:ascii="Verdana" w:hAnsi="Verdana"/>
          <w:b/>
          <w:spacing w:val="-20"/>
        </w:rPr>
        <w:t xml:space="preserve"> </w:t>
      </w:r>
      <w:r w:rsidRPr="0078124B">
        <w:rPr>
          <w:rFonts w:ascii="Verdana" w:hAnsi="Verdana"/>
          <w:b/>
        </w:rPr>
        <w:t>model</w:t>
      </w:r>
      <w:r w:rsidRPr="0078124B">
        <w:rPr>
          <w:rFonts w:ascii="Verdana" w:hAnsi="Verdana"/>
          <w:spacing w:val="-20"/>
        </w:rPr>
        <w:t xml:space="preserve"> </w:t>
      </w:r>
      <w:r w:rsidRPr="0078124B">
        <w:rPr>
          <w:rFonts w:ascii="Verdana" w:hAnsi="Verdana"/>
        </w:rPr>
        <w:t>is</w:t>
      </w:r>
      <w:r w:rsidRPr="0078124B">
        <w:rPr>
          <w:rFonts w:ascii="Verdana" w:hAnsi="Verdana"/>
          <w:spacing w:val="-20"/>
        </w:rPr>
        <w:t xml:space="preserve"> </w:t>
      </w:r>
      <w:r w:rsidRPr="0078124B">
        <w:rPr>
          <w:rFonts w:ascii="Verdana" w:hAnsi="Verdana"/>
        </w:rPr>
        <w:t>the</w:t>
      </w:r>
      <w:r w:rsidRPr="0078124B">
        <w:rPr>
          <w:rFonts w:ascii="Verdana" w:hAnsi="Verdana"/>
          <w:spacing w:val="-19"/>
        </w:rPr>
        <w:t xml:space="preserve"> </w:t>
      </w:r>
      <w:r w:rsidRPr="0078124B">
        <w:rPr>
          <w:rFonts w:ascii="Verdana" w:hAnsi="Verdana"/>
        </w:rPr>
        <w:t>model</w:t>
      </w:r>
      <w:r w:rsidRPr="0078124B">
        <w:rPr>
          <w:rFonts w:ascii="Verdana" w:hAnsi="Verdana"/>
          <w:spacing w:val="-19"/>
        </w:rPr>
        <w:t xml:space="preserve"> </w:t>
      </w:r>
      <w:r w:rsidRPr="0078124B">
        <w:rPr>
          <w:rFonts w:ascii="Verdana" w:hAnsi="Verdana"/>
        </w:rPr>
        <w:t>that</w:t>
      </w:r>
      <w:r w:rsidRPr="0078124B">
        <w:rPr>
          <w:rFonts w:ascii="Verdana" w:hAnsi="Verdana"/>
          <w:spacing w:val="-18"/>
        </w:rPr>
        <w:t xml:space="preserve"> </w:t>
      </w:r>
      <w:r w:rsidRPr="0078124B">
        <w:rPr>
          <w:rFonts w:ascii="Verdana" w:hAnsi="Verdana"/>
        </w:rPr>
        <w:t>will achieve the aim of delivering a safe and sustainable hearing implant devices service for adults and children that meets national standards and would like to commission this.</w:t>
      </w:r>
    </w:p>
    <w:p w14:paraId="63B38A06" w14:textId="77777777" w:rsidR="0078124B" w:rsidRPr="0078124B" w:rsidRDefault="0078124B" w:rsidP="0078124B">
      <w:pPr>
        <w:rPr>
          <w:rFonts w:ascii="Verdana" w:hAnsi="Verdana"/>
        </w:rPr>
      </w:pPr>
    </w:p>
    <w:p w14:paraId="79C2FABE" w14:textId="77777777" w:rsidR="0078124B" w:rsidRPr="0078124B" w:rsidRDefault="0078124B" w:rsidP="00EA58E9">
      <w:pPr>
        <w:pStyle w:val="BodyText"/>
        <w:ind w:right="391"/>
        <w:jc w:val="both"/>
        <w:rPr>
          <w:sz w:val="24"/>
          <w:szCs w:val="24"/>
        </w:rPr>
      </w:pPr>
      <w:r w:rsidRPr="0078124B">
        <w:rPr>
          <w:sz w:val="24"/>
          <w:szCs w:val="24"/>
        </w:rPr>
        <w:t>The preferred option will enable the safe and sustainable delivery of services for patients requiring an implantable hearing device which will include:</w:t>
      </w:r>
    </w:p>
    <w:p w14:paraId="481A40CF" w14:textId="17A12410" w:rsidR="0078124B" w:rsidRPr="0078124B" w:rsidRDefault="0078124B" w:rsidP="0078124B">
      <w:pPr>
        <w:pStyle w:val="BodyText"/>
        <w:numPr>
          <w:ilvl w:val="0"/>
          <w:numId w:val="23"/>
        </w:numPr>
        <w:overflowPunct/>
        <w:adjustRightInd/>
        <w:spacing w:before="60" w:line="259" w:lineRule="auto"/>
        <w:ind w:right="391" w:hanging="556"/>
        <w:jc w:val="both"/>
        <w:textAlignment w:val="auto"/>
        <w:rPr>
          <w:sz w:val="24"/>
          <w:szCs w:val="24"/>
        </w:rPr>
      </w:pPr>
      <w:r w:rsidRPr="0078124B">
        <w:rPr>
          <w:sz w:val="24"/>
          <w:szCs w:val="24"/>
        </w:rPr>
        <w:t xml:space="preserve">Assessment by a </w:t>
      </w:r>
      <w:r w:rsidRPr="0078124B">
        <w:rPr>
          <w:spacing w:val="-2"/>
          <w:sz w:val="24"/>
          <w:szCs w:val="24"/>
        </w:rPr>
        <w:t xml:space="preserve">multi-disciplinary team that is able to offer access to all types of </w:t>
      </w:r>
      <w:r w:rsidR="007B4EA6">
        <w:rPr>
          <w:spacing w:val="-2"/>
          <w:sz w:val="24"/>
          <w:szCs w:val="24"/>
        </w:rPr>
        <w:t>(commissioned) hearing implants,</w:t>
      </w:r>
      <w:r w:rsidRPr="0078124B">
        <w:rPr>
          <w:sz w:val="24"/>
          <w:szCs w:val="24"/>
        </w:rPr>
        <w:t xml:space="preserve"> </w:t>
      </w:r>
    </w:p>
    <w:p w14:paraId="323533B8" w14:textId="2E7D2F6D" w:rsidR="0078124B" w:rsidRPr="0078124B" w:rsidRDefault="0078124B" w:rsidP="0078124B">
      <w:pPr>
        <w:pStyle w:val="BodyText"/>
        <w:numPr>
          <w:ilvl w:val="0"/>
          <w:numId w:val="23"/>
        </w:numPr>
        <w:overflowPunct/>
        <w:adjustRightInd/>
        <w:spacing w:line="259" w:lineRule="auto"/>
        <w:ind w:right="391" w:hanging="556"/>
        <w:jc w:val="both"/>
        <w:textAlignment w:val="auto"/>
        <w:rPr>
          <w:sz w:val="24"/>
          <w:szCs w:val="24"/>
        </w:rPr>
      </w:pPr>
      <w:r w:rsidRPr="0078124B">
        <w:rPr>
          <w:sz w:val="24"/>
          <w:szCs w:val="24"/>
        </w:rPr>
        <w:t xml:space="preserve">Operations at the </w:t>
      </w:r>
      <w:proofErr w:type="spellStart"/>
      <w:r w:rsidRPr="0078124B">
        <w:rPr>
          <w:sz w:val="24"/>
          <w:szCs w:val="24"/>
        </w:rPr>
        <w:t>centre</w:t>
      </w:r>
      <w:proofErr w:type="spellEnd"/>
      <w:r w:rsidRPr="0078124B">
        <w:rPr>
          <w:sz w:val="24"/>
          <w:szCs w:val="24"/>
        </w:rPr>
        <w:t>, staffed by a team of 3 surgeons who will have enough  patients to maintain their skills</w:t>
      </w:r>
      <w:r w:rsidR="007B4EA6">
        <w:rPr>
          <w:sz w:val="24"/>
          <w:szCs w:val="24"/>
        </w:rPr>
        <w:t>,</w:t>
      </w:r>
    </w:p>
    <w:p w14:paraId="3E0DF09C" w14:textId="2131721B" w:rsidR="0078124B" w:rsidRPr="0078124B" w:rsidRDefault="0078124B" w:rsidP="0078124B">
      <w:pPr>
        <w:pStyle w:val="BodyText"/>
        <w:numPr>
          <w:ilvl w:val="0"/>
          <w:numId w:val="23"/>
        </w:numPr>
        <w:overflowPunct/>
        <w:adjustRightInd/>
        <w:ind w:right="391" w:hanging="556"/>
        <w:jc w:val="both"/>
        <w:textAlignment w:val="auto"/>
        <w:rPr>
          <w:sz w:val="24"/>
          <w:szCs w:val="24"/>
        </w:rPr>
      </w:pPr>
      <w:r w:rsidRPr="0078124B">
        <w:rPr>
          <w:sz w:val="24"/>
          <w:szCs w:val="24"/>
        </w:rPr>
        <w:t xml:space="preserve">Device programming at the </w:t>
      </w:r>
      <w:proofErr w:type="spellStart"/>
      <w:r w:rsidRPr="0078124B">
        <w:rPr>
          <w:sz w:val="24"/>
          <w:szCs w:val="24"/>
        </w:rPr>
        <w:t>centre</w:t>
      </w:r>
      <w:proofErr w:type="spellEnd"/>
      <w:r w:rsidRPr="0078124B">
        <w:rPr>
          <w:sz w:val="24"/>
          <w:szCs w:val="24"/>
        </w:rPr>
        <w:t xml:space="preserve"> by a team of 3 audiologists who will have enough patients to maintain their skills</w:t>
      </w:r>
      <w:r w:rsidR="007B4EA6">
        <w:rPr>
          <w:sz w:val="24"/>
          <w:szCs w:val="24"/>
        </w:rPr>
        <w:t>,</w:t>
      </w:r>
      <w:r w:rsidRPr="0078124B">
        <w:rPr>
          <w:spacing w:val="80"/>
          <w:sz w:val="24"/>
          <w:szCs w:val="24"/>
        </w:rPr>
        <w:t xml:space="preserve"> </w:t>
      </w:r>
    </w:p>
    <w:p w14:paraId="37D4778D" w14:textId="6285071A" w:rsidR="0078124B" w:rsidRPr="0078124B" w:rsidRDefault="0078124B" w:rsidP="0078124B">
      <w:pPr>
        <w:pStyle w:val="BodyText"/>
        <w:numPr>
          <w:ilvl w:val="0"/>
          <w:numId w:val="23"/>
        </w:numPr>
        <w:overflowPunct/>
        <w:adjustRightInd/>
        <w:ind w:right="391" w:hanging="556"/>
        <w:jc w:val="both"/>
        <w:textAlignment w:val="auto"/>
        <w:rPr>
          <w:sz w:val="24"/>
          <w:szCs w:val="24"/>
        </w:rPr>
      </w:pPr>
      <w:r w:rsidRPr="0078124B">
        <w:rPr>
          <w:sz w:val="24"/>
          <w:szCs w:val="24"/>
        </w:rPr>
        <w:t xml:space="preserve">Consideration will be given as to whether some pre-surgical and follow up appointments for the Bone Conduction Hearing Implant service can be delivered through an outreach model at a local </w:t>
      </w:r>
      <w:r w:rsidR="007B4EA6">
        <w:rPr>
          <w:sz w:val="24"/>
          <w:szCs w:val="24"/>
        </w:rPr>
        <w:lastRenderedPageBreak/>
        <w:t>hospital,</w:t>
      </w:r>
    </w:p>
    <w:p w14:paraId="6CFB1EC2" w14:textId="77777777" w:rsidR="0078124B" w:rsidRPr="0078124B" w:rsidRDefault="0078124B" w:rsidP="0078124B">
      <w:pPr>
        <w:pStyle w:val="BodyText"/>
        <w:numPr>
          <w:ilvl w:val="0"/>
          <w:numId w:val="23"/>
        </w:numPr>
        <w:overflowPunct/>
        <w:adjustRightInd/>
        <w:spacing w:after="120"/>
        <w:ind w:right="391" w:hanging="556"/>
        <w:jc w:val="both"/>
        <w:textAlignment w:val="auto"/>
        <w:rPr>
          <w:sz w:val="24"/>
          <w:szCs w:val="24"/>
        </w:rPr>
      </w:pPr>
      <w:r w:rsidRPr="0078124B">
        <w:rPr>
          <w:sz w:val="24"/>
          <w:szCs w:val="24"/>
        </w:rPr>
        <w:t xml:space="preserve">Speech and language therapy (SLT), and Teacher of the Deaf </w:t>
      </w:r>
      <w:r w:rsidRPr="0078124B">
        <w:rPr>
          <w:spacing w:val="-4"/>
          <w:sz w:val="24"/>
          <w:szCs w:val="24"/>
        </w:rPr>
        <w:t xml:space="preserve">(QTOD) </w:t>
      </w:r>
      <w:r w:rsidRPr="0078124B">
        <w:rPr>
          <w:sz w:val="24"/>
          <w:szCs w:val="24"/>
        </w:rPr>
        <w:t>support will be provided at a local hospital or in the community, where required</w:t>
      </w:r>
      <w:r w:rsidRPr="0078124B">
        <w:rPr>
          <w:spacing w:val="80"/>
          <w:sz w:val="24"/>
          <w:szCs w:val="24"/>
        </w:rPr>
        <w:t>.</w:t>
      </w:r>
    </w:p>
    <w:p w14:paraId="0C612B85" w14:textId="77777777" w:rsidR="0078124B" w:rsidRPr="0078124B" w:rsidRDefault="0078124B" w:rsidP="0078124B">
      <w:pPr>
        <w:pStyle w:val="BodyText"/>
        <w:spacing w:line="259" w:lineRule="auto"/>
        <w:ind w:right="391" w:firstLine="142"/>
        <w:jc w:val="both"/>
        <w:rPr>
          <w:sz w:val="24"/>
          <w:szCs w:val="24"/>
        </w:rPr>
      </w:pPr>
      <w:r w:rsidRPr="0078124B">
        <w:rPr>
          <w:sz w:val="24"/>
          <w:szCs w:val="24"/>
        </w:rPr>
        <w:t>The</w:t>
      </w:r>
      <w:r w:rsidRPr="0078124B">
        <w:rPr>
          <w:spacing w:val="-3"/>
          <w:sz w:val="24"/>
          <w:szCs w:val="24"/>
        </w:rPr>
        <w:t xml:space="preserve"> </w:t>
      </w:r>
      <w:r w:rsidRPr="0078124B">
        <w:rPr>
          <w:sz w:val="24"/>
          <w:szCs w:val="24"/>
        </w:rPr>
        <w:t>service</w:t>
      </w:r>
      <w:r w:rsidRPr="0078124B">
        <w:rPr>
          <w:spacing w:val="-3"/>
          <w:sz w:val="24"/>
          <w:szCs w:val="24"/>
        </w:rPr>
        <w:t xml:space="preserve"> </w:t>
      </w:r>
      <w:r w:rsidRPr="0078124B">
        <w:rPr>
          <w:spacing w:val="-2"/>
          <w:sz w:val="24"/>
          <w:szCs w:val="24"/>
        </w:rPr>
        <w:t>will:</w:t>
      </w:r>
    </w:p>
    <w:p w14:paraId="06CF3ACD" w14:textId="370E47C8" w:rsidR="0078124B" w:rsidRPr="0078124B" w:rsidRDefault="0078124B" w:rsidP="00EA58E9">
      <w:pPr>
        <w:pStyle w:val="ListParagraph"/>
        <w:widowControl w:val="0"/>
        <w:numPr>
          <w:ilvl w:val="0"/>
          <w:numId w:val="24"/>
        </w:numPr>
        <w:tabs>
          <w:tab w:val="left" w:pos="833"/>
          <w:tab w:val="left" w:pos="834"/>
        </w:tabs>
        <w:autoSpaceDE w:val="0"/>
        <w:autoSpaceDN w:val="0"/>
        <w:spacing w:before="60"/>
        <w:ind w:right="539"/>
        <w:jc w:val="both"/>
        <w:rPr>
          <w:rFonts w:ascii="Verdana" w:hAnsi="Verdana"/>
        </w:rPr>
      </w:pPr>
      <w:r w:rsidRPr="0078124B">
        <w:rPr>
          <w:rFonts w:ascii="Verdana" w:hAnsi="Verdana"/>
        </w:rPr>
        <w:t>Support rapid access to a Specialist Audiologist when device</w:t>
      </w:r>
      <w:r w:rsidRPr="0078124B">
        <w:rPr>
          <w:rFonts w:ascii="Verdana" w:hAnsi="Verdana"/>
          <w:spacing w:val="-4"/>
        </w:rPr>
        <w:t xml:space="preserve"> </w:t>
      </w:r>
      <w:r w:rsidRPr="0078124B">
        <w:rPr>
          <w:rFonts w:ascii="Verdana" w:hAnsi="Verdana"/>
        </w:rPr>
        <w:t>failure</w:t>
      </w:r>
      <w:r w:rsidRPr="0078124B">
        <w:rPr>
          <w:rFonts w:ascii="Verdana" w:hAnsi="Verdana"/>
          <w:spacing w:val="-6"/>
        </w:rPr>
        <w:t xml:space="preserve"> </w:t>
      </w:r>
      <w:r w:rsidRPr="0078124B">
        <w:rPr>
          <w:rFonts w:ascii="Verdana" w:hAnsi="Verdana"/>
        </w:rPr>
        <w:t>is</w:t>
      </w:r>
      <w:r w:rsidRPr="0078124B">
        <w:rPr>
          <w:rFonts w:ascii="Verdana" w:hAnsi="Verdana"/>
          <w:spacing w:val="-7"/>
        </w:rPr>
        <w:t xml:space="preserve"> </w:t>
      </w:r>
      <w:r w:rsidRPr="0078124B">
        <w:rPr>
          <w:rFonts w:ascii="Verdana" w:hAnsi="Verdana"/>
        </w:rPr>
        <w:t>suspected</w:t>
      </w:r>
      <w:r w:rsidRPr="0078124B">
        <w:rPr>
          <w:rFonts w:ascii="Verdana" w:hAnsi="Verdana"/>
          <w:spacing w:val="-3"/>
        </w:rPr>
        <w:t xml:space="preserve"> </w:t>
      </w:r>
      <w:r w:rsidRPr="0078124B">
        <w:rPr>
          <w:rFonts w:ascii="Verdana" w:hAnsi="Verdana"/>
        </w:rPr>
        <w:t>at</w:t>
      </w:r>
      <w:r w:rsidRPr="0078124B">
        <w:rPr>
          <w:rFonts w:ascii="Verdana" w:hAnsi="Verdana"/>
          <w:spacing w:val="-4"/>
        </w:rPr>
        <w:t xml:space="preserve"> </w:t>
      </w:r>
      <w:r w:rsidRPr="0078124B">
        <w:rPr>
          <w:rFonts w:ascii="Verdana" w:hAnsi="Verdana"/>
        </w:rPr>
        <w:t>the specialist hearing implant</w:t>
      </w:r>
      <w:r w:rsidRPr="0078124B">
        <w:rPr>
          <w:rFonts w:ascii="Verdana" w:hAnsi="Verdana"/>
          <w:spacing w:val="-2"/>
        </w:rPr>
        <w:t xml:space="preserve"> </w:t>
      </w:r>
      <w:r w:rsidRPr="0078124B">
        <w:rPr>
          <w:rFonts w:ascii="Verdana" w:hAnsi="Verdana"/>
        </w:rPr>
        <w:t>centre</w:t>
      </w:r>
      <w:r w:rsidRPr="0078124B">
        <w:rPr>
          <w:rFonts w:ascii="Verdana" w:hAnsi="Verdana"/>
          <w:spacing w:val="-3"/>
        </w:rPr>
        <w:t xml:space="preserve"> </w:t>
      </w:r>
      <w:r w:rsidRPr="0078124B">
        <w:rPr>
          <w:rFonts w:ascii="Verdana" w:hAnsi="Verdana"/>
        </w:rPr>
        <w:t>and</w:t>
      </w:r>
      <w:r w:rsidRPr="0078124B">
        <w:rPr>
          <w:rFonts w:ascii="Verdana" w:hAnsi="Verdana"/>
          <w:spacing w:val="-4"/>
        </w:rPr>
        <w:t xml:space="preserve"> </w:t>
      </w:r>
      <w:r w:rsidRPr="0078124B">
        <w:rPr>
          <w:rFonts w:ascii="Verdana" w:hAnsi="Verdana"/>
        </w:rPr>
        <w:t>provide</w:t>
      </w:r>
      <w:r w:rsidRPr="0078124B">
        <w:rPr>
          <w:rFonts w:ascii="Verdana" w:hAnsi="Verdana"/>
          <w:spacing w:val="-3"/>
        </w:rPr>
        <w:t xml:space="preserve"> </w:t>
      </w:r>
      <w:r w:rsidR="007B4EA6">
        <w:rPr>
          <w:rFonts w:ascii="Verdana" w:hAnsi="Verdana"/>
        </w:rPr>
        <w:t>equitable and lifelong access,</w:t>
      </w:r>
    </w:p>
    <w:p w14:paraId="570F87C3" w14:textId="6D81ADD2" w:rsidR="0078124B" w:rsidRPr="0078124B" w:rsidRDefault="0078124B" w:rsidP="00EA58E9">
      <w:pPr>
        <w:pStyle w:val="ListParagraph"/>
        <w:widowControl w:val="0"/>
        <w:numPr>
          <w:ilvl w:val="0"/>
          <w:numId w:val="24"/>
        </w:numPr>
        <w:tabs>
          <w:tab w:val="left" w:pos="833"/>
          <w:tab w:val="left" w:pos="834"/>
        </w:tabs>
        <w:autoSpaceDE w:val="0"/>
        <w:autoSpaceDN w:val="0"/>
        <w:ind w:right="528"/>
        <w:jc w:val="both"/>
        <w:rPr>
          <w:rFonts w:ascii="Verdana" w:hAnsi="Verdana"/>
        </w:rPr>
      </w:pPr>
      <w:r w:rsidRPr="0078124B">
        <w:rPr>
          <w:rFonts w:ascii="Verdana" w:hAnsi="Verdana"/>
        </w:rPr>
        <w:t>Ensure</w:t>
      </w:r>
      <w:r w:rsidRPr="0078124B">
        <w:rPr>
          <w:rFonts w:ascii="Verdana" w:hAnsi="Verdana"/>
          <w:spacing w:val="-3"/>
        </w:rPr>
        <w:t xml:space="preserve"> </w:t>
      </w:r>
      <w:r w:rsidRPr="0078124B">
        <w:rPr>
          <w:rFonts w:ascii="Verdana" w:hAnsi="Verdana"/>
        </w:rPr>
        <w:t>equity</w:t>
      </w:r>
      <w:r w:rsidRPr="0078124B">
        <w:rPr>
          <w:rFonts w:ascii="Verdana" w:hAnsi="Verdana"/>
          <w:spacing w:val="-4"/>
        </w:rPr>
        <w:t xml:space="preserve"> </w:t>
      </w:r>
      <w:r w:rsidRPr="0078124B">
        <w:rPr>
          <w:rFonts w:ascii="Verdana" w:hAnsi="Verdana"/>
        </w:rPr>
        <w:t>of</w:t>
      </w:r>
      <w:r w:rsidRPr="0078124B">
        <w:rPr>
          <w:rFonts w:ascii="Verdana" w:hAnsi="Verdana"/>
          <w:spacing w:val="-7"/>
        </w:rPr>
        <w:t xml:space="preserve"> </w:t>
      </w:r>
      <w:r w:rsidRPr="0078124B">
        <w:rPr>
          <w:rFonts w:ascii="Verdana" w:hAnsi="Verdana"/>
        </w:rPr>
        <w:t>access</w:t>
      </w:r>
      <w:r w:rsidRPr="0078124B">
        <w:rPr>
          <w:rFonts w:ascii="Verdana" w:hAnsi="Verdana"/>
          <w:spacing w:val="-3"/>
        </w:rPr>
        <w:t xml:space="preserve"> </w:t>
      </w:r>
      <w:r w:rsidRPr="0078124B">
        <w:rPr>
          <w:rFonts w:ascii="Verdana" w:hAnsi="Verdana"/>
        </w:rPr>
        <w:t>for</w:t>
      </w:r>
      <w:r w:rsidRPr="0078124B">
        <w:rPr>
          <w:rFonts w:ascii="Verdana" w:hAnsi="Verdana"/>
          <w:spacing w:val="-3"/>
        </w:rPr>
        <w:t xml:space="preserve"> </w:t>
      </w:r>
      <w:r w:rsidRPr="0078124B">
        <w:rPr>
          <w:rFonts w:ascii="Verdana" w:hAnsi="Verdana"/>
        </w:rPr>
        <w:t>all</w:t>
      </w:r>
      <w:r w:rsidRPr="0078124B">
        <w:rPr>
          <w:rFonts w:ascii="Verdana" w:hAnsi="Verdana"/>
          <w:spacing w:val="-4"/>
        </w:rPr>
        <w:t xml:space="preserve"> </w:t>
      </w:r>
      <w:r w:rsidRPr="0078124B">
        <w:rPr>
          <w:rFonts w:ascii="Verdana" w:hAnsi="Verdana"/>
        </w:rPr>
        <w:t>patients</w:t>
      </w:r>
      <w:r w:rsidRPr="0078124B">
        <w:rPr>
          <w:rFonts w:ascii="Verdana" w:hAnsi="Verdana"/>
          <w:spacing w:val="-3"/>
        </w:rPr>
        <w:t xml:space="preserve"> </w:t>
      </w:r>
      <w:r w:rsidRPr="0078124B">
        <w:rPr>
          <w:rFonts w:ascii="Verdana" w:hAnsi="Verdana"/>
        </w:rPr>
        <w:t>(i.e.</w:t>
      </w:r>
      <w:r w:rsidRPr="0078124B">
        <w:rPr>
          <w:rFonts w:ascii="Verdana" w:hAnsi="Verdana"/>
          <w:spacing w:val="-2"/>
        </w:rPr>
        <w:t xml:space="preserve"> </w:t>
      </w:r>
      <w:r w:rsidRPr="0078124B">
        <w:rPr>
          <w:rFonts w:ascii="Verdana" w:hAnsi="Verdana"/>
        </w:rPr>
        <w:t>all</w:t>
      </w:r>
      <w:r w:rsidRPr="0078124B">
        <w:rPr>
          <w:rFonts w:ascii="Verdana" w:hAnsi="Verdana"/>
          <w:spacing w:val="-3"/>
        </w:rPr>
        <w:t xml:space="preserve"> </w:t>
      </w:r>
      <w:r w:rsidRPr="0078124B">
        <w:rPr>
          <w:rFonts w:ascii="Verdana" w:hAnsi="Verdana"/>
        </w:rPr>
        <w:t>patients</w:t>
      </w:r>
      <w:r w:rsidRPr="0078124B">
        <w:rPr>
          <w:rFonts w:ascii="Verdana" w:hAnsi="Verdana"/>
          <w:spacing w:val="-3"/>
        </w:rPr>
        <w:t xml:space="preserve"> </w:t>
      </w:r>
      <w:r w:rsidRPr="0078124B">
        <w:rPr>
          <w:rFonts w:ascii="Verdana" w:hAnsi="Verdana"/>
        </w:rPr>
        <w:t>having the same options open to them, and considered for them)</w:t>
      </w:r>
      <w:r w:rsidR="007B4EA6">
        <w:rPr>
          <w:rFonts w:ascii="Verdana" w:hAnsi="Verdana"/>
        </w:rPr>
        <w:t>,</w:t>
      </w:r>
    </w:p>
    <w:p w14:paraId="09D83403" w14:textId="683D394C" w:rsidR="0078124B" w:rsidRPr="0078124B" w:rsidRDefault="0078124B" w:rsidP="00EA58E9">
      <w:pPr>
        <w:pStyle w:val="ListParagraph"/>
        <w:widowControl w:val="0"/>
        <w:numPr>
          <w:ilvl w:val="0"/>
          <w:numId w:val="24"/>
        </w:numPr>
        <w:tabs>
          <w:tab w:val="left" w:pos="833"/>
          <w:tab w:val="left" w:pos="834"/>
        </w:tabs>
        <w:autoSpaceDE w:val="0"/>
        <w:autoSpaceDN w:val="0"/>
        <w:ind w:right="544"/>
        <w:jc w:val="both"/>
        <w:rPr>
          <w:rFonts w:ascii="Verdana" w:hAnsi="Verdana"/>
        </w:rPr>
      </w:pPr>
      <w:r w:rsidRPr="0078124B">
        <w:rPr>
          <w:rFonts w:ascii="Verdana" w:hAnsi="Verdana"/>
        </w:rPr>
        <w:t>Support</w:t>
      </w:r>
      <w:r w:rsidRPr="0078124B">
        <w:rPr>
          <w:rFonts w:ascii="Verdana" w:hAnsi="Verdana"/>
          <w:spacing w:val="-2"/>
        </w:rPr>
        <w:t xml:space="preserve"> </w:t>
      </w:r>
      <w:r w:rsidRPr="0078124B">
        <w:rPr>
          <w:rFonts w:ascii="Verdana" w:hAnsi="Verdana"/>
        </w:rPr>
        <w:t>a</w:t>
      </w:r>
      <w:r w:rsidRPr="0078124B">
        <w:rPr>
          <w:rFonts w:ascii="Verdana" w:hAnsi="Verdana"/>
          <w:spacing w:val="-6"/>
        </w:rPr>
        <w:t xml:space="preserve"> </w:t>
      </w:r>
      <w:r w:rsidRPr="0078124B">
        <w:rPr>
          <w:rFonts w:ascii="Verdana" w:hAnsi="Verdana"/>
        </w:rPr>
        <w:t>large number of</w:t>
      </w:r>
      <w:r w:rsidRPr="0078124B">
        <w:rPr>
          <w:rFonts w:ascii="Verdana" w:hAnsi="Verdana"/>
          <w:spacing w:val="-3"/>
        </w:rPr>
        <w:t xml:space="preserve"> </w:t>
      </w:r>
      <w:r w:rsidRPr="0078124B">
        <w:rPr>
          <w:rFonts w:ascii="Verdana" w:hAnsi="Verdana"/>
        </w:rPr>
        <w:t>patients</w:t>
      </w:r>
      <w:r w:rsidRPr="0078124B">
        <w:rPr>
          <w:rFonts w:ascii="Verdana" w:hAnsi="Verdana"/>
          <w:spacing w:val="-5"/>
        </w:rPr>
        <w:t xml:space="preserve"> </w:t>
      </w:r>
      <w:r w:rsidRPr="0078124B">
        <w:rPr>
          <w:rFonts w:ascii="Verdana" w:hAnsi="Verdana"/>
        </w:rPr>
        <w:t>required</w:t>
      </w:r>
      <w:r w:rsidRPr="0078124B">
        <w:rPr>
          <w:rFonts w:ascii="Verdana" w:hAnsi="Verdana"/>
          <w:spacing w:val="-1"/>
        </w:rPr>
        <w:t xml:space="preserve"> </w:t>
      </w:r>
      <w:r w:rsidRPr="0078124B">
        <w:rPr>
          <w:rFonts w:ascii="Verdana" w:hAnsi="Verdana"/>
        </w:rPr>
        <w:t>for</w:t>
      </w:r>
      <w:r w:rsidRPr="0078124B">
        <w:rPr>
          <w:rFonts w:ascii="Verdana" w:hAnsi="Verdana"/>
          <w:spacing w:val="-2"/>
        </w:rPr>
        <w:t xml:space="preserve"> </w:t>
      </w:r>
      <w:r w:rsidRPr="0078124B">
        <w:rPr>
          <w:rFonts w:ascii="Verdana" w:hAnsi="Verdana"/>
        </w:rPr>
        <w:t>the</w:t>
      </w:r>
      <w:r w:rsidRPr="0078124B">
        <w:rPr>
          <w:rFonts w:ascii="Verdana" w:hAnsi="Verdana"/>
          <w:spacing w:val="-5"/>
        </w:rPr>
        <w:t xml:space="preserve"> </w:t>
      </w:r>
      <w:r w:rsidRPr="0078124B">
        <w:rPr>
          <w:rFonts w:ascii="Verdana" w:hAnsi="Verdana"/>
        </w:rPr>
        <w:t>adoption</w:t>
      </w:r>
      <w:r w:rsidRPr="0078124B">
        <w:rPr>
          <w:rFonts w:ascii="Verdana" w:hAnsi="Verdana"/>
          <w:spacing w:val="-2"/>
        </w:rPr>
        <w:t xml:space="preserve"> </w:t>
      </w:r>
      <w:r w:rsidRPr="0078124B">
        <w:rPr>
          <w:rFonts w:ascii="Verdana" w:hAnsi="Verdana"/>
        </w:rPr>
        <w:t>of new technological advances</w:t>
      </w:r>
      <w:r w:rsidR="007B4EA6">
        <w:rPr>
          <w:rFonts w:ascii="Verdana" w:hAnsi="Verdana"/>
        </w:rPr>
        <w:t>,</w:t>
      </w:r>
    </w:p>
    <w:p w14:paraId="7C73E766" w14:textId="77777777" w:rsidR="0078124B" w:rsidRPr="0078124B" w:rsidRDefault="0078124B" w:rsidP="00EA58E9">
      <w:pPr>
        <w:pStyle w:val="ListParagraph"/>
        <w:numPr>
          <w:ilvl w:val="0"/>
          <w:numId w:val="24"/>
        </w:numPr>
        <w:spacing w:before="100" w:beforeAutospacing="1" w:after="100" w:afterAutospacing="1"/>
        <w:jc w:val="both"/>
        <w:rPr>
          <w:rFonts w:ascii="Verdana" w:hAnsi="Verdana"/>
          <w:b/>
          <w:color w:val="000000"/>
        </w:rPr>
      </w:pPr>
      <w:r w:rsidRPr="0078124B">
        <w:rPr>
          <w:rFonts w:ascii="Verdana" w:hAnsi="Verdana"/>
        </w:rPr>
        <w:t>Provide</w:t>
      </w:r>
      <w:r w:rsidRPr="0078124B">
        <w:rPr>
          <w:rFonts w:ascii="Verdana" w:hAnsi="Verdana"/>
          <w:spacing w:val="-5"/>
        </w:rPr>
        <w:t xml:space="preserve"> </w:t>
      </w:r>
      <w:r w:rsidRPr="0078124B">
        <w:rPr>
          <w:rFonts w:ascii="Verdana" w:hAnsi="Verdana"/>
        </w:rPr>
        <w:t>remote</w:t>
      </w:r>
      <w:r w:rsidRPr="0078124B">
        <w:rPr>
          <w:rFonts w:ascii="Verdana" w:hAnsi="Verdana"/>
          <w:spacing w:val="-6"/>
        </w:rPr>
        <w:t xml:space="preserve"> </w:t>
      </w:r>
      <w:r w:rsidRPr="0078124B">
        <w:rPr>
          <w:rFonts w:ascii="Verdana" w:hAnsi="Verdana"/>
        </w:rPr>
        <w:t>digital</w:t>
      </w:r>
      <w:r w:rsidRPr="0078124B">
        <w:rPr>
          <w:rFonts w:ascii="Verdana" w:hAnsi="Verdana"/>
          <w:spacing w:val="-2"/>
        </w:rPr>
        <w:t xml:space="preserve"> </w:t>
      </w:r>
      <w:r w:rsidRPr="0078124B">
        <w:rPr>
          <w:rFonts w:ascii="Verdana" w:hAnsi="Verdana"/>
        </w:rPr>
        <w:t>programming</w:t>
      </w:r>
      <w:r w:rsidRPr="0078124B">
        <w:rPr>
          <w:rFonts w:ascii="Verdana" w:hAnsi="Verdana"/>
          <w:color w:val="8496B0" w:themeColor="text2" w:themeTint="99"/>
        </w:rPr>
        <w:t xml:space="preserve"> </w:t>
      </w:r>
      <w:r w:rsidRPr="0078124B">
        <w:rPr>
          <w:rFonts w:ascii="Verdana" w:hAnsi="Verdana"/>
        </w:rPr>
        <w:t>(when available and where applicable)</w:t>
      </w:r>
      <w:r w:rsidRPr="0078124B">
        <w:rPr>
          <w:rFonts w:ascii="Verdana" w:hAnsi="Verdana"/>
          <w:color w:val="8496B0" w:themeColor="text2" w:themeTint="99"/>
          <w:spacing w:val="-4"/>
        </w:rPr>
        <w:t xml:space="preserve"> </w:t>
      </w:r>
      <w:r w:rsidRPr="0078124B">
        <w:rPr>
          <w:rFonts w:ascii="Verdana" w:hAnsi="Verdana"/>
        </w:rPr>
        <w:t>and</w:t>
      </w:r>
      <w:r w:rsidRPr="0078124B">
        <w:rPr>
          <w:rFonts w:ascii="Verdana" w:hAnsi="Verdana"/>
          <w:spacing w:val="-5"/>
        </w:rPr>
        <w:t xml:space="preserve"> </w:t>
      </w:r>
      <w:r w:rsidRPr="0078124B">
        <w:rPr>
          <w:rFonts w:ascii="Verdana" w:hAnsi="Verdana"/>
        </w:rPr>
        <w:t>outreach</w:t>
      </w:r>
      <w:r w:rsidRPr="0078124B">
        <w:rPr>
          <w:rFonts w:ascii="Verdana" w:hAnsi="Verdana"/>
          <w:spacing w:val="-7"/>
        </w:rPr>
        <w:t xml:space="preserve"> </w:t>
      </w:r>
      <w:r w:rsidRPr="0078124B">
        <w:rPr>
          <w:rFonts w:ascii="Verdana" w:hAnsi="Verdana"/>
        </w:rPr>
        <w:t>clinics</w:t>
      </w:r>
      <w:r w:rsidRPr="0078124B">
        <w:rPr>
          <w:rFonts w:ascii="Verdana" w:hAnsi="Verdana"/>
          <w:spacing w:val="-6"/>
        </w:rPr>
        <w:t xml:space="preserve"> </w:t>
      </w:r>
      <w:r w:rsidRPr="0078124B">
        <w:rPr>
          <w:rFonts w:ascii="Verdana" w:hAnsi="Verdana"/>
        </w:rPr>
        <w:t>in</w:t>
      </w:r>
      <w:r w:rsidRPr="0078124B">
        <w:rPr>
          <w:rFonts w:ascii="Verdana" w:hAnsi="Verdana"/>
          <w:spacing w:val="-4"/>
        </w:rPr>
        <w:t xml:space="preserve"> </w:t>
      </w:r>
      <w:r w:rsidRPr="0078124B">
        <w:rPr>
          <w:rFonts w:ascii="Verdana" w:hAnsi="Verdana"/>
        </w:rPr>
        <w:t>the local hospitals to improve access to services</w:t>
      </w:r>
      <w:r>
        <w:rPr>
          <w:rFonts w:ascii="Verdana" w:hAnsi="Verdana"/>
        </w:rPr>
        <w:t xml:space="preserve">. </w:t>
      </w:r>
    </w:p>
    <w:p w14:paraId="4B99133C" w14:textId="77777777" w:rsidR="0078124B" w:rsidRDefault="0078124B" w:rsidP="0078124B">
      <w:pPr>
        <w:spacing w:before="100" w:beforeAutospacing="1" w:after="100" w:afterAutospacing="1"/>
        <w:jc w:val="both"/>
        <w:rPr>
          <w:rFonts w:ascii="Verdana" w:hAnsi="Verdana"/>
        </w:rPr>
      </w:pPr>
      <w:r>
        <w:rPr>
          <w:rFonts w:ascii="Verdana" w:hAnsi="Verdana"/>
        </w:rPr>
        <w:t xml:space="preserve">Areas of particular patient consideration could be: </w:t>
      </w:r>
    </w:p>
    <w:p w14:paraId="6EE10C29" w14:textId="77777777" w:rsidR="008216AA" w:rsidRPr="0078124B" w:rsidRDefault="008216AA" w:rsidP="0078124B">
      <w:pPr>
        <w:pStyle w:val="ListParagraph"/>
        <w:numPr>
          <w:ilvl w:val="0"/>
          <w:numId w:val="25"/>
        </w:numPr>
        <w:spacing w:before="100" w:beforeAutospacing="1" w:after="100" w:afterAutospacing="1"/>
        <w:jc w:val="both"/>
        <w:rPr>
          <w:rFonts w:ascii="Verdana" w:hAnsi="Verdana"/>
          <w:b/>
        </w:rPr>
      </w:pPr>
      <w:r w:rsidRPr="0078124B">
        <w:rPr>
          <w:rFonts w:ascii="Verdana" w:hAnsi="Verdana"/>
          <w:b/>
        </w:rPr>
        <w:t>Patient parking</w:t>
      </w:r>
    </w:p>
    <w:p w14:paraId="4A9C7243" w14:textId="77777777" w:rsidR="00C84804" w:rsidRPr="00C84804" w:rsidRDefault="00C84804" w:rsidP="00583D6F">
      <w:pPr>
        <w:spacing w:before="100" w:beforeAutospacing="1" w:after="100" w:afterAutospacing="1"/>
        <w:ind w:left="720"/>
        <w:jc w:val="both"/>
        <w:rPr>
          <w:rFonts w:ascii="Verdana" w:hAnsi="Verdana"/>
        </w:rPr>
      </w:pPr>
      <w:r w:rsidRPr="00C84804">
        <w:rPr>
          <w:rFonts w:ascii="Verdana" w:hAnsi="Verdana"/>
        </w:rPr>
        <w:t>This is available at all sites</w:t>
      </w:r>
      <w:r>
        <w:rPr>
          <w:rFonts w:ascii="Verdana" w:hAnsi="Verdana"/>
        </w:rPr>
        <w:t xml:space="preserve">. There are no car parking charges within </w:t>
      </w:r>
      <w:r w:rsidR="00E1677F">
        <w:rPr>
          <w:rFonts w:ascii="Verdana" w:hAnsi="Verdana"/>
        </w:rPr>
        <w:t>Wales’</w:t>
      </w:r>
      <w:r>
        <w:rPr>
          <w:rFonts w:ascii="Verdana" w:hAnsi="Verdana"/>
        </w:rPr>
        <w:t xml:space="preserve"> hospital sites.</w:t>
      </w:r>
    </w:p>
    <w:p w14:paraId="6ED8476F" w14:textId="77777777" w:rsidR="008216AA" w:rsidRPr="00583D6F" w:rsidRDefault="008216AA" w:rsidP="00583D6F">
      <w:pPr>
        <w:pStyle w:val="ListParagraph"/>
        <w:numPr>
          <w:ilvl w:val="0"/>
          <w:numId w:val="22"/>
        </w:numPr>
        <w:shd w:val="clear" w:color="auto" w:fill="FFFFFF"/>
        <w:spacing w:after="165"/>
        <w:outlineLvl w:val="2"/>
        <w:rPr>
          <w:rFonts w:ascii="Verdana" w:hAnsi="Verdana" w:cs="Segoe UI"/>
          <w:b/>
          <w:color w:val="343A40"/>
        </w:rPr>
      </w:pPr>
      <w:r w:rsidRPr="00583D6F">
        <w:rPr>
          <w:rFonts w:ascii="Verdana" w:hAnsi="Verdana" w:cs="Segoe UI"/>
          <w:b/>
          <w:color w:val="343A40"/>
        </w:rPr>
        <w:t>Staff parking</w:t>
      </w:r>
    </w:p>
    <w:p w14:paraId="7A395805" w14:textId="77777777" w:rsidR="00934CC5" w:rsidRPr="00C84804" w:rsidRDefault="00C84804" w:rsidP="00583D6F">
      <w:pPr>
        <w:spacing w:before="100" w:beforeAutospacing="1" w:after="100" w:afterAutospacing="1"/>
        <w:ind w:left="720"/>
        <w:jc w:val="both"/>
        <w:rPr>
          <w:rFonts w:ascii="Verdana" w:hAnsi="Verdana"/>
        </w:rPr>
      </w:pPr>
      <w:r w:rsidRPr="00C84804">
        <w:rPr>
          <w:rFonts w:ascii="Verdana" w:hAnsi="Verdana"/>
        </w:rPr>
        <w:t xml:space="preserve">This is available at all sites. </w:t>
      </w:r>
      <w:r w:rsidR="008216AA" w:rsidRPr="00C84804">
        <w:rPr>
          <w:rFonts w:ascii="Verdana" w:hAnsi="Verdana" w:cs="Segoe UI"/>
        </w:rPr>
        <w:t xml:space="preserve">Members of staff who wish to park on site </w:t>
      </w:r>
      <w:r w:rsidRPr="00C84804">
        <w:rPr>
          <w:rFonts w:ascii="Verdana" w:hAnsi="Verdana" w:cs="Segoe UI"/>
        </w:rPr>
        <w:t xml:space="preserve">may need to </w:t>
      </w:r>
      <w:r w:rsidR="008216AA" w:rsidRPr="00C84804">
        <w:rPr>
          <w:rFonts w:ascii="Verdana" w:hAnsi="Verdana" w:cs="Segoe UI"/>
        </w:rPr>
        <w:t xml:space="preserve">apply for a permit.   </w:t>
      </w:r>
      <w:r w:rsidR="00E42801" w:rsidRPr="00C84804">
        <w:rPr>
          <w:rFonts w:ascii="Verdana" w:hAnsi="Verdana" w:cs="Segoe UI"/>
        </w:rPr>
        <w:t xml:space="preserve">A permit does not guarantee them </w:t>
      </w:r>
      <w:r w:rsidR="008216AA" w:rsidRPr="00C84804">
        <w:rPr>
          <w:rFonts w:ascii="Verdana" w:hAnsi="Verdana" w:cs="Segoe UI"/>
        </w:rPr>
        <w:t xml:space="preserve">a parking space on site.  Staff must park in designated staff car parks.  </w:t>
      </w:r>
    </w:p>
    <w:p w14:paraId="04F2AAD6" w14:textId="77777777" w:rsidR="00CE05EB" w:rsidRDefault="00CE05EB" w:rsidP="00583D6F">
      <w:pPr>
        <w:pStyle w:val="NormalWeb"/>
        <w:numPr>
          <w:ilvl w:val="0"/>
          <w:numId w:val="22"/>
        </w:numPr>
        <w:rPr>
          <w:color w:val="000000"/>
          <w:sz w:val="27"/>
          <w:szCs w:val="27"/>
        </w:rPr>
      </w:pPr>
      <w:r w:rsidRPr="00CE05EB">
        <w:rPr>
          <w:rFonts w:ascii="Verdana" w:hAnsi="Verdana"/>
          <w:b/>
          <w:color w:val="000000"/>
        </w:rPr>
        <w:t>Healthcare Travel Costs Scheme</w:t>
      </w:r>
      <w:r>
        <w:rPr>
          <w:color w:val="000000"/>
          <w:sz w:val="27"/>
          <w:szCs w:val="27"/>
        </w:rPr>
        <w:t xml:space="preserve"> </w:t>
      </w:r>
    </w:p>
    <w:p w14:paraId="6C908052" w14:textId="77777777" w:rsidR="00CE05EB" w:rsidRPr="00CE05EB" w:rsidRDefault="00CE05EB" w:rsidP="00583D6F">
      <w:pPr>
        <w:pStyle w:val="NormalWeb"/>
        <w:ind w:left="720"/>
        <w:jc w:val="both"/>
        <w:rPr>
          <w:rFonts w:ascii="Verdana" w:hAnsi="Verdana"/>
          <w:color w:val="000000"/>
        </w:rPr>
      </w:pPr>
      <w:r w:rsidRPr="00CE05EB">
        <w:rPr>
          <w:rFonts w:ascii="Verdana" w:hAnsi="Verdana"/>
          <w:color w:val="000000"/>
        </w:rPr>
        <w:t>Under this scheme, patients on low incomes or receiving specific qualifying benefits or allowances are reimbursed in full or in part for costs incurred in travelling to receive NHS services provided in a hospital. This includes:</w:t>
      </w:r>
    </w:p>
    <w:p w14:paraId="7E97CCE9" w14:textId="74326ABB" w:rsidR="00CE05EB" w:rsidRPr="00CE05EB" w:rsidRDefault="00CE05EB" w:rsidP="00583D6F">
      <w:pPr>
        <w:pStyle w:val="NormalWeb"/>
        <w:numPr>
          <w:ilvl w:val="1"/>
          <w:numId w:val="22"/>
        </w:numPr>
        <w:jc w:val="both"/>
        <w:rPr>
          <w:rFonts w:ascii="Verdana" w:hAnsi="Verdana"/>
          <w:color w:val="000000"/>
        </w:rPr>
      </w:pPr>
      <w:r w:rsidRPr="00CE05EB">
        <w:rPr>
          <w:rFonts w:ascii="Verdana" w:hAnsi="Verdana"/>
          <w:color w:val="000000"/>
        </w:rPr>
        <w:t>Income support benefit</w:t>
      </w:r>
      <w:r w:rsidR="007B4EA6">
        <w:rPr>
          <w:rFonts w:ascii="Verdana" w:hAnsi="Verdana"/>
          <w:color w:val="000000"/>
        </w:rPr>
        <w:t>,</w:t>
      </w:r>
    </w:p>
    <w:p w14:paraId="209D020E" w14:textId="21065597" w:rsidR="00CE05EB" w:rsidRDefault="00CE05EB" w:rsidP="00583D6F">
      <w:pPr>
        <w:pStyle w:val="NormalWeb"/>
        <w:numPr>
          <w:ilvl w:val="1"/>
          <w:numId w:val="22"/>
        </w:numPr>
        <w:jc w:val="both"/>
        <w:rPr>
          <w:rFonts w:ascii="Verdana" w:hAnsi="Verdana"/>
          <w:color w:val="000000"/>
        </w:rPr>
      </w:pPr>
      <w:r w:rsidRPr="00CE05EB">
        <w:rPr>
          <w:rFonts w:ascii="Verdana" w:hAnsi="Verdana"/>
          <w:color w:val="000000"/>
        </w:rPr>
        <w:t>Income based job seekers allowance</w:t>
      </w:r>
      <w:r w:rsidR="007B4EA6">
        <w:rPr>
          <w:rFonts w:ascii="Verdana" w:hAnsi="Verdana"/>
          <w:color w:val="000000"/>
        </w:rPr>
        <w:t>,</w:t>
      </w:r>
      <w:bookmarkStart w:id="0" w:name="_GoBack"/>
      <w:bookmarkEnd w:id="0"/>
    </w:p>
    <w:p w14:paraId="42648CDB" w14:textId="42CD8E73" w:rsidR="00CE05EB" w:rsidRDefault="00CE05EB" w:rsidP="00583D6F">
      <w:pPr>
        <w:pStyle w:val="NormalWeb"/>
        <w:numPr>
          <w:ilvl w:val="1"/>
          <w:numId w:val="22"/>
        </w:numPr>
        <w:jc w:val="both"/>
        <w:rPr>
          <w:rFonts w:ascii="Verdana" w:hAnsi="Verdana"/>
          <w:color w:val="000000"/>
        </w:rPr>
      </w:pPr>
      <w:r w:rsidRPr="00CE05EB">
        <w:rPr>
          <w:rFonts w:ascii="Verdana" w:hAnsi="Verdana"/>
          <w:color w:val="000000"/>
        </w:rPr>
        <w:t>Working tax credit or child tax credit</w:t>
      </w:r>
      <w:r w:rsidR="007B4EA6">
        <w:rPr>
          <w:rFonts w:ascii="Verdana" w:hAnsi="Verdana"/>
          <w:color w:val="000000"/>
        </w:rPr>
        <w:t>,</w:t>
      </w:r>
    </w:p>
    <w:p w14:paraId="267C891F" w14:textId="4FB96C89" w:rsidR="00934CC5" w:rsidRPr="00E42801" w:rsidRDefault="00886EE9" w:rsidP="00583D6F">
      <w:pPr>
        <w:pStyle w:val="NormalWeb"/>
        <w:numPr>
          <w:ilvl w:val="1"/>
          <w:numId w:val="22"/>
        </w:numPr>
        <w:jc w:val="both"/>
        <w:rPr>
          <w:rFonts w:ascii="Verdana" w:hAnsi="Verdana"/>
          <w:color w:val="000000"/>
        </w:rPr>
      </w:pPr>
      <w:r>
        <w:rPr>
          <w:rFonts w:ascii="Verdana" w:hAnsi="Verdana"/>
          <w:color w:val="000000"/>
        </w:rPr>
        <w:t>NHS Low Income Scheme and receive an</w:t>
      </w:r>
      <w:r w:rsidR="00CE05EB" w:rsidRPr="00CE05EB">
        <w:rPr>
          <w:rFonts w:ascii="Verdana" w:hAnsi="Verdana"/>
          <w:color w:val="000000"/>
        </w:rPr>
        <w:t xml:space="preserve"> HC2</w:t>
      </w:r>
      <w:r>
        <w:rPr>
          <w:rFonts w:ascii="Verdana" w:hAnsi="Verdana"/>
          <w:color w:val="000000"/>
        </w:rPr>
        <w:t xml:space="preserve"> (full help with health care costs)</w:t>
      </w:r>
      <w:r>
        <w:rPr>
          <w:rStyle w:val="FootnoteReference"/>
          <w:rFonts w:ascii="Verdana" w:hAnsi="Verdana"/>
          <w:color w:val="000000"/>
        </w:rPr>
        <w:footnoteReference w:id="6"/>
      </w:r>
      <w:r w:rsidR="00CE05EB" w:rsidRPr="00CE05EB">
        <w:rPr>
          <w:rFonts w:ascii="Verdana" w:hAnsi="Verdana"/>
          <w:color w:val="000000"/>
        </w:rPr>
        <w:t xml:space="preserve"> or HC3</w:t>
      </w:r>
      <w:r>
        <w:rPr>
          <w:rFonts w:ascii="Verdana" w:hAnsi="Verdana"/>
          <w:color w:val="000000"/>
        </w:rPr>
        <w:t xml:space="preserve"> (</w:t>
      </w:r>
      <w:r w:rsidR="0078124B">
        <w:rPr>
          <w:rFonts w:ascii="Verdana" w:hAnsi="Verdana"/>
          <w:color w:val="000000"/>
        </w:rPr>
        <w:t>L</w:t>
      </w:r>
      <w:r>
        <w:rPr>
          <w:rFonts w:ascii="Verdana" w:hAnsi="Verdana"/>
          <w:color w:val="000000"/>
        </w:rPr>
        <w:t>imited help with health care costs)</w:t>
      </w:r>
      <w:r>
        <w:rPr>
          <w:rStyle w:val="FootnoteReference"/>
          <w:rFonts w:ascii="Verdana" w:hAnsi="Verdana"/>
          <w:color w:val="000000"/>
        </w:rPr>
        <w:footnoteReference w:id="7"/>
      </w:r>
      <w:r w:rsidR="00E46CDA">
        <w:rPr>
          <w:rFonts w:ascii="Verdana" w:hAnsi="Verdana"/>
          <w:color w:val="000000"/>
        </w:rPr>
        <w:t>.</w:t>
      </w:r>
    </w:p>
    <w:p w14:paraId="12A542C1" w14:textId="77777777" w:rsidR="00934CC5" w:rsidRDefault="00934CC5" w:rsidP="00583D6F">
      <w:pPr>
        <w:ind w:left="360"/>
        <w:jc w:val="both"/>
      </w:pPr>
    </w:p>
    <w:p w14:paraId="68FEAD71" w14:textId="77777777" w:rsidR="00443AC5" w:rsidRDefault="00443AC5" w:rsidP="00443AC5">
      <w:pPr>
        <w:numPr>
          <w:ilvl w:val="0"/>
          <w:numId w:val="1"/>
        </w:numPr>
        <w:rPr>
          <w:rFonts w:ascii="Verdana" w:hAnsi="Verdana" w:cs="Arial"/>
          <w:b/>
        </w:rPr>
      </w:pPr>
      <w:r w:rsidRPr="000E117C">
        <w:rPr>
          <w:rFonts w:ascii="Verdana" w:hAnsi="Verdana" w:cs="Arial"/>
          <w:b/>
        </w:rPr>
        <w:lastRenderedPageBreak/>
        <w:t>UNDERSTANDING THE IMPACT ON</w:t>
      </w:r>
      <w:r w:rsidR="00E30524">
        <w:rPr>
          <w:rFonts w:ascii="Verdana" w:hAnsi="Verdana" w:cs="Arial"/>
          <w:b/>
        </w:rPr>
        <w:t xml:space="preserve"> PEOPLE WITH </w:t>
      </w:r>
      <w:r w:rsidRPr="000E117C">
        <w:rPr>
          <w:rFonts w:ascii="Verdana" w:hAnsi="Verdana" w:cs="Arial"/>
          <w:b/>
        </w:rPr>
        <w:t xml:space="preserve">PROTECTED </w:t>
      </w:r>
      <w:r w:rsidR="000234F3" w:rsidRPr="000E117C">
        <w:rPr>
          <w:rFonts w:ascii="Verdana" w:hAnsi="Verdana" w:cs="Arial"/>
          <w:b/>
        </w:rPr>
        <w:t>CHARACTERISTICS</w:t>
      </w:r>
    </w:p>
    <w:p w14:paraId="0D50C542" w14:textId="77777777" w:rsidR="00443AC5" w:rsidRPr="000E117C" w:rsidRDefault="00443AC5" w:rsidP="00443AC5">
      <w:pPr>
        <w:ind w:left="360"/>
        <w:rPr>
          <w:rFonts w:ascii="Verdana" w:hAnsi="Verdana" w:cs="Arial"/>
          <w:b/>
        </w:rPr>
      </w:pPr>
    </w:p>
    <w:p w14:paraId="6EAC3C75" w14:textId="77777777" w:rsidR="00C257A0" w:rsidRDefault="000234F3" w:rsidP="00C257A0">
      <w:pPr>
        <w:jc w:val="both"/>
        <w:rPr>
          <w:rFonts w:ascii="Verdana" w:hAnsi="Verdana"/>
        </w:rPr>
      </w:pPr>
      <w:r w:rsidRPr="000234F3">
        <w:rPr>
          <w:rFonts w:ascii="Verdana" w:hAnsi="Verdana"/>
        </w:rPr>
        <w:t xml:space="preserve">The proposal to locate a </w:t>
      </w:r>
      <w:r w:rsidRPr="000234F3">
        <w:rPr>
          <w:rFonts w:ascii="Verdana" w:hAnsi="Verdana" w:cs="Segoe UI"/>
          <w:bCs/>
        </w:rPr>
        <w:t xml:space="preserve">single implantable device </w:t>
      </w:r>
      <w:r w:rsidR="00947EAF" w:rsidRPr="000234F3">
        <w:rPr>
          <w:rFonts w:ascii="Verdana" w:hAnsi="Verdana" w:cs="Segoe UI"/>
          <w:bCs/>
        </w:rPr>
        <w:t>hub</w:t>
      </w:r>
      <w:r w:rsidR="00947EAF">
        <w:rPr>
          <w:rFonts w:ascii="Verdana" w:hAnsi="Verdana" w:cs="Segoe UI"/>
          <w:bCs/>
        </w:rPr>
        <w:t xml:space="preserve"> for</w:t>
      </w:r>
      <w:r w:rsidR="00BC6B8E">
        <w:rPr>
          <w:rFonts w:ascii="Verdana" w:hAnsi="Verdana" w:cs="Segoe UI"/>
          <w:bCs/>
        </w:rPr>
        <w:t xml:space="preserve"> both children</w:t>
      </w:r>
      <w:r w:rsidRPr="000234F3">
        <w:rPr>
          <w:rFonts w:ascii="Verdana" w:hAnsi="Verdana" w:cs="Segoe UI"/>
          <w:bCs/>
        </w:rPr>
        <w:t xml:space="preserve"> and adults with an outreach support model </w:t>
      </w:r>
      <w:r w:rsidR="00443AC5" w:rsidRPr="000234F3">
        <w:rPr>
          <w:rFonts w:ascii="Verdana" w:hAnsi="Verdana"/>
        </w:rPr>
        <w:t>will therefore affect patients living in t</w:t>
      </w:r>
      <w:r>
        <w:rPr>
          <w:rFonts w:ascii="Verdana" w:hAnsi="Verdana"/>
        </w:rPr>
        <w:t xml:space="preserve">he local </w:t>
      </w:r>
      <w:r w:rsidR="00E46CDA">
        <w:rPr>
          <w:rFonts w:ascii="Verdana" w:hAnsi="Verdana"/>
        </w:rPr>
        <w:t>H</w:t>
      </w:r>
      <w:r>
        <w:rPr>
          <w:rFonts w:ascii="Verdana" w:hAnsi="Verdana"/>
        </w:rPr>
        <w:t xml:space="preserve">ealth </w:t>
      </w:r>
      <w:r w:rsidR="00E46CDA">
        <w:rPr>
          <w:rFonts w:ascii="Verdana" w:hAnsi="Verdana"/>
        </w:rPr>
        <w:t>B</w:t>
      </w:r>
      <w:r>
        <w:rPr>
          <w:rFonts w:ascii="Verdana" w:hAnsi="Verdana"/>
        </w:rPr>
        <w:t>oard regions of Cwm Taf Morgannwg</w:t>
      </w:r>
      <w:r w:rsidR="00947EAF">
        <w:rPr>
          <w:rFonts w:ascii="Verdana" w:hAnsi="Verdana"/>
        </w:rPr>
        <w:t xml:space="preserve">, </w:t>
      </w:r>
      <w:r w:rsidR="00947EAF" w:rsidRPr="000234F3">
        <w:rPr>
          <w:rFonts w:ascii="Verdana" w:hAnsi="Verdana"/>
        </w:rPr>
        <w:t>Aneurin</w:t>
      </w:r>
      <w:r>
        <w:rPr>
          <w:rFonts w:ascii="Verdana" w:hAnsi="Verdana"/>
        </w:rPr>
        <w:t xml:space="preserve"> Bevan, Cardiff and Vale</w:t>
      </w:r>
      <w:r w:rsidR="00BD6A41">
        <w:rPr>
          <w:rFonts w:ascii="Verdana" w:hAnsi="Verdana"/>
        </w:rPr>
        <w:t>, Hywel Dda, Swansea Bay</w:t>
      </w:r>
      <w:r>
        <w:rPr>
          <w:rFonts w:ascii="Verdana" w:hAnsi="Verdana"/>
        </w:rPr>
        <w:t xml:space="preserve"> </w:t>
      </w:r>
      <w:r w:rsidR="00443AC5" w:rsidRPr="000234F3">
        <w:rPr>
          <w:rFonts w:ascii="Verdana" w:hAnsi="Verdana"/>
        </w:rPr>
        <w:t xml:space="preserve">and </w:t>
      </w:r>
      <w:r w:rsidR="00E30524">
        <w:rPr>
          <w:rFonts w:ascii="Verdana" w:hAnsi="Verdana"/>
        </w:rPr>
        <w:t xml:space="preserve">South </w:t>
      </w:r>
      <w:r w:rsidR="00443AC5" w:rsidRPr="000234F3">
        <w:rPr>
          <w:rFonts w:ascii="Verdana" w:hAnsi="Verdana"/>
        </w:rPr>
        <w:t xml:space="preserve">Powys. </w:t>
      </w:r>
      <w:r w:rsidR="00C257A0">
        <w:rPr>
          <w:rFonts w:ascii="Verdana" w:hAnsi="Verdana"/>
        </w:rPr>
        <w:t>Throughout the document we will use the phrase “area affected” which will be a way to describe peop</w:t>
      </w:r>
      <w:r w:rsidR="00566665">
        <w:rPr>
          <w:rFonts w:ascii="Verdana" w:hAnsi="Verdana"/>
        </w:rPr>
        <w:t>le living in those regions</w:t>
      </w:r>
      <w:r w:rsidR="00CB53B8">
        <w:rPr>
          <w:rFonts w:ascii="Verdana" w:hAnsi="Verdana"/>
        </w:rPr>
        <w:t>,</w:t>
      </w:r>
      <w:r w:rsidR="00C257A0">
        <w:rPr>
          <w:rFonts w:ascii="Verdana" w:hAnsi="Verdana"/>
        </w:rPr>
        <w:t xml:space="preserve"> who may be affected by the </w:t>
      </w:r>
      <w:r w:rsidR="00CB53B8">
        <w:rPr>
          <w:rFonts w:ascii="Verdana" w:hAnsi="Verdana"/>
        </w:rPr>
        <w:t>service change</w:t>
      </w:r>
      <w:r w:rsidR="00C257A0">
        <w:rPr>
          <w:rFonts w:ascii="Verdana" w:hAnsi="Verdana"/>
        </w:rPr>
        <w:t>.</w:t>
      </w:r>
    </w:p>
    <w:p w14:paraId="60983948" w14:textId="77777777" w:rsidR="00D96F10" w:rsidRDefault="00D96F10" w:rsidP="00C257A0">
      <w:pPr>
        <w:jc w:val="both"/>
        <w:rPr>
          <w:rFonts w:ascii="Verdana" w:hAnsi="Verdana"/>
        </w:rPr>
      </w:pPr>
    </w:p>
    <w:p w14:paraId="4ADA64D5" w14:textId="77777777" w:rsidR="00D96F10" w:rsidRPr="00C257A0" w:rsidRDefault="00D96F10" w:rsidP="00C257A0">
      <w:pPr>
        <w:jc w:val="both"/>
        <w:rPr>
          <w:rFonts w:ascii="Verdana" w:hAnsi="Verdana"/>
        </w:rPr>
      </w:pPr>
      <w:r>
        <w:rPr>
          <w:rFonts w:ascii="Verdana" w:hAnsi="Verdana"/>
        </w:rPr>
        <w:t xml:space="preserve">The tables in the document have been extracted from the </w:t>
      </w:r>
      <w:r w:rsidR="00566665">
        <w:rPr>
          <w:rFonts w:ascii="Verdana" w:hAnsi="Verdana"/>
        </w:rPr>
        <w:t>Office of National Statistics (</w:t>
      </w:r>
      <w:r>
        <w:rPr>
          <w:rFonts w:ascii="Verdana" w:hAnsi="Verdana"/>
        </w:rPr>
        <w:t>ONS</w:t>
      </w:r>
      <w:r w:rsidR="00566665">
        <w:rPr>
          <w:rFonts w:ascii="Verdana" w:hAnsi="Verdana"/>
        </w:rPr>
        <w:t>)</w:t>
      </w:r>
      <w:r>
        <w:rPr>
          <w:rFonts w:ascii="Verdana" w:hAnsi="Verdana"/>
        </w:rPr>
        <w:t xml:space="preserve"> Government census data 2011 except for table 1 which has been updated for the census data collected in 2021.</w:t>
      </w:r>
    </w:p>
    <w:p w14:paraId="375B2BE0" w14:textId="77777777" w:rsidR="00866C2A" w:rsidRPr="000234F3" w:rsidRDefault="00866C2A" w:rsidP="000234F3">
      <w:pPr>
        <w:jc w:val="both"/>
        <w:rPr>
          <w:rFonts w:ascii="Verdana" w:hAnsi="Verdana"/>
        </w:rPr>
      </w:pPr>
    </w:p>
    <w:p w14:paraId="3FAF0AD0" w14:textId="77777777" w:rsidR="005C2D4E" w:rsidRDefault="005C2D4E" w:rsidP="005C2D4E">
      <w:pPr>
        <w:rPr>
          <w:rFonts w:ascii="Verdana" w:hAnsi="Verdana" w:cs="Arial"/>
          <w:b/>
        </w:rPr>
      </w:pPr>
      <w:r>
        <w:rPr>
          <w:rFonts w:ascii="Verdana" w:hAnsi="Verdana" w:cs="Arial"/>
          <w:b/>
        </w:rPr>
        <w:t>Gender</w:t>
      </w:r>
      <w:r w:rsidR="00F57998">
        <w:rPr>
          <w:rFonts w:ascii="Verdana" w:hAnsi="Verdana" w:cs="Arial"/>
          <w:b/>
        </w:rPr>
        <w:t>/Sex</w:t>
      </w:r>
    </w:p>
    <w:p w14:paraId="393EB09E" w14:textId="77777777" w:rsidR="00AD0660" w:rsidRDefault="00AD0660" w:rsidP="001B3708">
      <w:pPr>
        <w:pStyle w:val="BodyText"/>
        <w:spacing w:before="3"/>
        <w:ind w:right="-58"/>
        <w:jc w:val="both"/>
        <w:rPr>
          <w:sz w:val="24"/>
        </w:rPr>
      </w:pPr>
    </w:p>
    <w:p w14:paraId="350A7C2F" w14:textId="77777777" w:rsidR="00AD0660" w:rsidRDefault="00AD0660" w:rsidP="00BC6B8E">
      <w:pPr>
        <w:pStyle w:val="BodyText"/>
        <w:spacing w:before="3"/>
        <w:ind w:right="-58"/>
        <w:rPr>
          <w:sz w:val="24"/>
        </w:rPr>
      </w:pPr>
      <w:r w:rsidRPr="000E117C">
        <w:rPr>
          <w:sz w:val="24"/>
        </w:rPr>
        <w:t>The gender split for the area affected by service change mirrors very closely the gender split for Wales as a whole; approximately a 50:50 split with slightly more females (51</w:t>
      </w:r>
      <w:r w:rsidR="00A645A7">
        <w:rPr>
          <w:sz w:val="24"/>
        </w:rPr>
        <w:t>.1</w:t>
      </w:r>
      <w:r w:rsidR="00712842">
        <w:rPr>
          <w:sz w:val="24"/>
        </w:rPr>
        <w:t>%) than males (48.9</w:t>
      </w:r>
      <w:r w:rsidRPr="000E117C">
        <w:rPr>
          <w:sz w:val="24"/>
        </w:rPr>
        <w:t>%).</w:t>
      </w:r>
    </w:p>
    <w:p w14:paraId="6E4AE84B" w14:textId="77777777" w:rsidR="00712842" w:rsidRDefault="00712842" w:rsidP="00BC6B8E">
      <w:pPr>
        <w:pStyle w:val="BodyText"/>
        <w:spacing w:before="3"/>
        <w:ind w:right="-58"/>
        <w:rPr>
          <w:sz w:val="24"/>
        </w:rPr>
      </w:pPr>
    </w:p>
    <w:p w14:paraId="4ABE818D" w14:textId="77777777" w:rsidR="00712842" w:rsidRPr="00712842" w:rsidRDefault="00712842" w:rsidP="00712842">
      <w:pPr>
        <w:rPr>
          <w:rFonts w:ascii="Verdana" w:hAnsi="Verdana" w:cs="Arial"/>
          <w:bCs/>
        </w:rPr>
      </w:pPr>
      <w:r w:rsidRPr="00566665">
        <w:rPr>
          <w:rFonts w:ascii="Verdana" w:hAnsi="Verdana"/>
          <w:b/>
        </w:rPr>
        <w:t>Table 1</w:t>
      </w:r>
      <w:r>
        <w:rPr>
          <w:rFonts w:ascii="Verdana" w:hAnsi="Verdana"/>
        </w:rPr>
        <w:t>:</w:t>
      </w:r>
      <w:r w:rsidRPr="00712842">
        <w:rPr>
          <w:rFonts w:ascii="Verdana" w:hAnsi="Verdana"/>
        </w:rPr>
        <w:t xml:space="preserve"> </w:t>
      </w:r>
      <w:r w:rsidRPr="00712842">
        <w:rPr>
          <w:rFonts w:ascii="Verdana" w:hAnsi="Verdana" w:cs="Arial"/>
          <w:bCs/>
        </w:rPr>
        <w:t>P01 Census 2021: Usual resident population by sex, local authorities in Wales</w:t>
      </w:r>
      <w:r w:rsidR="00D96F10">
        <w:rPr>
          <w:rStyle w:val="FootnoteReference"/>
          <w:rFonts w:ascii="Verdana" w:hAnsi="Verdana" w:cs="Arial"/>
          <w:bCs/>
        </w:rPr>
        <w:footnoteReference w:id="8"/>
      </w:r>
      <w:r w:rsidRPr="00712842">
        <w:rPr>
          <w:rFonts w:ascii="Verdana" w:hAnsi="Verdana" w:cs="Arial"/>
          <w:bCs/>
        </w:rPr>
        <w:t xml:space="preserve"> </w:t>
      </w:r>
    </w:p>
    <w:p w14:paraId="097CE541" w14:textId="77777777" w:rsidR="00AD0660" w:rsidRDefault="00AD0660" w:rsidP="001B3708">
      <w:pPr>
        <w:pStyle w:val="BodyText"/>
        <w:spacing w:before="3"/>
        <w:ind w:right="-58"/>
        <w:jc w:val="both"/>
        <w:rPr>
          <w:sz w:val="24"/>
        </w:rPr>
      </w:pPr>
    </w:p>
    <w:p w14:paraId="177398BA" w14:textId="77777777" w:rsidR="00712842" w:rsidRPr="000E117C" w:rsidRDefault="00712842" w:rsidP="001B3708">
      <w:pPr>
        <w:pStyle w:val="BodyText"/>
        <w:spacing w:before="3"/>
        <w:ind w:right="-58"/>
        <w:jc w:val="both"/>
        <w:rPr>
          <w:sz w:val="24"/>
        </w:rPr>
      </w:pPr>
      <w:r w:rsidRPr="00712842">
        <w:rPr>
          <w:noProof/>
          <w:lang w:val="en-GB" w:eastAsia="en-GB"/>
        </w:rPr>
        <w:drawing>
          <wp:inline distT="0" distB="0" distL="0" distR="0" wp14:anchorId="062FE5A1" wp14:editId="58140E53">
            <wp:extent cx="5679831" cy="347571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95306" cy="3485184"/>
                    </a:xfrm>
                    <a:prstGeom prst="rect">
                      <a:avLst/>
                    </a:prstGeom>
                    <a:noFill/>
                    <a:ln>
                      <a:noFill/>
                    </a:ln>
                  </pic:spPr>
                </pic:pic>
              </a:graphicData>
            </a:graphic>
          </wp:inline>
        </w:drawing>
      </w:r>
    </w:p>
    <w:p w14:paraId="48B6CE31" w14:textId="77777777" w:rsidR="00F418A9" w:rsidRDefault="00D3694D" w:rsidP="00D3694D">
      <w:pPr>
        <w:spacing w:before="100" w:beforeAutospacing="1" w:after="100" w:afterAutospacing="1"/>
        <w:jc w:val="both"/>
        <w:rPr>
          <w:rFonts w:ascii="Verdana" w:hAnsi="Verdana"/>
          <w:color w:val="000000"/>
        </w:rPr>
      </w:pPr>
      <w:r w:rsidRPr="00D3694D">
        <w:rPr>
          <w:rFonts w:ascii="Verdana" w:hAnsi="Verdana"/>
        </w:rPr>
        <w:t xml:space="preserve">Car travel is the most common means of transport for both men and women from all age groups, including children. However, children make more </w:t>
      </w:r>
      <w:r w:rsidRPr="00D3694D">
        <w:rPr>
          <w:rFonts w:ascii="Verdana" w:hAnsi="Verdana"/>
        </w:rPr>
        <w:lastRenderedPageBreak/>
        <w:t>walking trips than adults. For all age groups, men driv</w:t>
      </w:r>
      <w:r w:rsidR="00C30EBD">
        <w:rPr>
          <w:rFonts w:ascii="Verdana" w:hAnsi="Verdana"/>
        </w:rPr>
        <w:t xml:space="preserve">e further than women on average.  </w:t>
      </w:r>
      <w:r w:rsidR="00843166" w:rsidRPr="00D3694D">
        <w:rPr>
          <w:rFonts w:ascii="Verdana" w:hAnsi="Verdana"/>
          <w:color w:val="000000"/>
        </w:rPr>
        <w:t>According to the Department of Transport’s Road Use Statistics 2016, nationally men are more likely than women to be car drivers, with 80% of men compared to 67% of women hol</w:t>
      </w:r>
      <w:r w:rsidRPr="00D3694D">
        <w:rPr>
          <w:rFonts w:ascii="Verdana" w:hAnsi="Verdana"/>
          <w:color w:val="000000"/>
        </w:rPr>
        <w:t xml:space="preserve">ding a driving licence in 2014. </w:t>
      </w:r>
    </w:p>
    <w:p w14:paraId="2811179A" w14:textId="7EBD922F" w:rsidR="00FE1EB8" w:rsidRPr="007C414D" w:rsidRDefault="00843166" w:rsidP="00FE1EB8">
      <w:pPr>
        <w:jc w:val="both"/>
        <w:rPr>
          <w:rFonts w:ascii="Verdana" w:hAnsi="Verdana"/>
          <w:color w:val="000000"/>
        </w:rPr>
      </w:pPr>
      <w:r w:rsidRPr="007B0F53">
        <w:rPr>
          <w:rFonts w:ascii="Verdana" w:hAnsi="Verdana"/>
          <w:color w:val="000000"/>
        </w:rPr>
        <w:t xml:space="preserve">It is therefore assumed that older female patients are most likely to be impacted by </w:t>
      </w:r>
      <w:r w:rsidR="003E3E7A">
        <w:rPr>
          <w:rFonts w:ascii="Verdana" w:hAnsi="Verdana"/>
          <w:color w:val="000000"/>
        </w:rPr>
        <w:t>a</w:t>
      </w:r>
      <w:r w:rsidRPr="007B0F53">
        <w:rPr>
          <w:rFonts w:ascii="Verdana" w:hAnsi="Verdana"/>
          <w:color w:val="000000"/>
        </w:rPr>
        <w:t xml:space="preserve"> change of location</w:t>
      </w:r>
      <w:r w:rsidR="003E3E7A">
        <w:rPr>
          <w:rFonts w:ascii="Verdana" w:hAnsi="Verdana"/>
          <w:color w:val="000000"/>
        </w:rPr>
        <w:t>,</w:t>
      </w:r>
      <w:r w:rsidR="00EA58E9">
        <w:rPr>
          <w:rFonts w:ascii="Verdana" w:hAnsi="Verdana"/>
          <w:color w:val="000000"/>
        </w:rPr>
        <w:t xml:space="preserve"> </w:t>
      </w:r>
      <w:r w:rsidRPr="007B0F53">
        <w:rPr>
          <w:rFonts w:ascii="Verdana" w:hAnsi="Verdana"/>
          <w:color w:val="000000"/>
        </w:rPr>
        <w:t>due to their likely reliance on public transport.</w:t>
      </w:r>
      <w:r w:rsidR="007C414D" w:rsidRPr="007B0F53">
        <w:rPr>
          <w:rFonts w:ascii="Verdana" w:hAnsi="Verdana" w:cs="Arial"/>
        </w:rPr>
        <w:t xml:space="preserve"> The evidence of a gender difference in access to transport is a relevant consideration in relation to this service change since a single centre would mean some patients and families travelling further than</w:t>
      </w:r>
      <w:r w:rsidR="00F418A9" w:rsidRPr="007B0F53">
        <w:rPr>
          <w:rFonts w:ascii="Verdana" w:hAnsi="Verdana" w:cs="Arial"/>
        </w:rPr>
        <w:t xml:space="preserve"> they would otherwise need to, </w:t>
      </w:r>
      <w:r w:rsidR="00B900C1" w:rsidRPr="007B0F53">
        <w:rPr>
          <w:rFonts w:ascii="Verdana" w:hAnsi="Verdana" w:cs="Arial"/>
        </w:rPr>
        <w:t>however some patients will</w:t>
      </w:r>
      <w:r w:rsidR="007B0F53" w:rsidRPr="007B0F53">
        <w:rPr>
          <w:rFonts w:ascii="Verdana" w:hAnsi="Verdana" w:cs="Arial"/>
        </w:rPr>
        <w:t xml:space="preserve"> be travelling less, </w:t>
      </w:r>
      <w:r w:rsidR="007B0F53" w:rsidRPr="007B0F53">
        <w:rPr>
          <w:rFonts w:ascii="Verdana" w:hAnsi="Verdana"/>
        </w:rPr>
        <w:t>based on the current available evidence</w:t>
      </w:r>
      <w:r w:rsidR="00E27B8E">
        <w:rPr>
          <w:rFonts w:ascii="Verdana" w:hAnsi="Verdana"/>
        </w:rPr>
        <w:t xml:space="preserve">.  </w:t>
      </w:r>
      <w:r w:rsidR="00FE1EB8">
        <w:rPr>
          <w:rFonts w:ascii="Verdana" w:hAnsi="Verdana"/>
        </w:rPr>
        <w:t xml:space="preserve">We will seek to understand this further through the engagement process.  </w:t>
      </w:r>
    </w:p>
    <w:p w14:paraId="32C334B4" w14:textId="77777777" w:rsidR="00FE1EB8" w:rsidRDefault="00FE1EB8" w:rsidP="00443AC5">
      <w:pPr>
        <w:rPr>
          <w:rFonts w:ascii="Verdana" w:hAnsi="Verdana"/>
          <w:b/>
          <w:color w:val="000000"/>
        </w:rPr>
      </w:pPr>
    </w:p>
    <w:p w14:paraId="05C9BB5B" w14:textId="77777777" w:rsidR="00843166" w:rsidRDefault="001B3708" w:rsidP="00443AC5">
      <w:pPr>
        <w:rPr>
          <w:rFonts w:ascii="Verdana" w:hAnsi="Verdana"/>
          <w:b/>
          <w:color w:val="000000"/>
        </w:rPr>
      </w:pPr>
      <w:r w:rsidRPr="001B3708">
        <w:rPr>
          <w:rFonts w:ascii="Verdana" w:hAnsi="Verdana"/>
          <w:b/>
          <w:color w:val="000000"/>
        </w:rPr>
        <w:t>Age</w:t>
      </w:r>
    </w:p>
    <w:p w14:paraId="27253CFF" w14:textId="77777777" w:rsidR="004A5C81" w:rsidRDefault="004A5C81" w:rsidP="004A5C81">
      <w:pPr>
        <w:jc w:val="both"/>
        <w:rPr>
          <w:rFonts w:ascii="Verdana" w:hAnsi="Verdana" w:cs="Segoe UI"/>
        </w:rPr>
      </w:pPr>
    </w:p>
    <w:p w14:paraId="5AA1B92F" w14:textId="77777777" w:rsidR="004A5C81" w:rsidRDefault="004A5C81" w:rsidP="004A5C81">
      <w:pPr>
        <w:jc w:val="both"/>
        <w:rPr>
          <w:rFonts w:ascii="Verdana" w:hAnsi="Verdana"/>
        </w:rPr>
      </w:pPr>
      <w:r w:rsidRPr="00E551F5">
        <w:rPr>
          <w:rFonts w:ascii="Verdana" w:hAnsi="Verdana"/>
        </w:rPr>
        <w:t xml:space="preserve">Approximately 370 children in England </w:t>
      </w:r>
      <w:r>
        <w:rPr>
          <w:rFonts w:ascii="Verdana" w:hAnsi="Verdana"/>
        </w:rPr>
        <w:t xml:space="preserve">and </w:t>
      </w:r>
      <w:r w:rsidRPr="004E2B64">
        <w:rPr>
          <w:rFonts w:ascii="Verdana" w:hAnsi="Verdana"/>
          <w:shd w:val="clear" w:color="auto" w:fill="FFFFFF"/>
        </w:rPr>
        <w:t>20</w:t>
      </w:r>
      <w:r w:rsidRPr="004E2B64">
        <w:rPr>
          <w:rStyle w:val="Strong"/>
          <w:rFonts w:ascii="Verdana" w:hAnsi="Verdana"/>
          <w:shd w:val="clear" w:color="auto" w:fill="FFFFFF"/>
        </w:rPr>
        <w:t> </w:t>
      </w:r>
      <w:r w:rsidRPr="00195D54">
        <w:rPr>
          <w:rStyle w:val="Strong"/>
          <w:rFonts w:ascii="Verdana" w:hAnsi="Verdana"/>
          <w:b w:val="0"/>
          <w:shd w:val="clear" w:color="auto" w:fill="FFFFFF"/>
        </w:rPr>
        <w:t>children in Wales</w:t>
      </w:r>
      <w:r w:rsidRPr="004E2B64">
        <w:rPr>
          <w:rFonts w:ascii="Verdana" w:hAnsi="Verdana"/>
          <w:sz w:val="21"/>
          <w:szCs w:val="21"/>
          <w:shd w:val="clear" w:color="auto" w:fill="FFFFFF"/>
        </w:rPr>
        <w:t> </w:t>
      </w:r>
      <w:r w:rsidRPr="00E551F5">
        <w:rPr>
          <w:rFonts w:ascii="Verdana" w:hAnsi="Verdana"/>
        </w:rPr>
        <w:t>are born with permanent severe to profound deafness each year. About 1 in every 1</w:t>
      </w:r>
      <w:r w:rsidR="00E46CDA">
        <w:rPr>
          <w:rFonts w:ascii="Verdana" w:hAnsi="Verdana"/>
        </w:rPr>
        <w:t>,</w:t>
      </w:r>
      <w:r w:rsidRPr="00E551F5">
        <w:rPr>
          <w:rFonts w:ascii="Verdana" w:hAnsi="Verdana"/>
        </w:rPr>
        <w:t>000 children is severely or profoundly deaf at 3 years old. This rises to 2 in every 1</w:t>
      </w:r>
      <w:r w:rsidR="00E46CDA">
        <w:rPr>
          <w:rFonts w:ascii="Verdana" w:hAnsi="Verdana"/>
        </w:rPr>
        <w:t>,</w:t>
      </w:r>
      <w:r w:rsidRPr="00E551F5">
        <w:rPr>
          <w:rFonts w:ascii="Verdana" w:hAnsi="Verdana"/>
        </w:rPr>
        <w:t>000 children aged 9 to 16 years. About half the incidence of childhood deafness is attributed to genetic causes, although approximately 90% of deaf children come from families with no direct experience of deafness. Causes of severe to profound hearing loss in children also include conditions such as meningitis and viral infection of the inner ear (for example, rubella or measles), as well as premature birth and congenital infections.</w:t>
      </w:r>
      <w:r w:rsidRPr="004E2B64">
        <w:rPr>
          <w:rStyle w:val="FootnoteReference"/>
          <w:rFonts w:ascii="Verdana" w:hAnsi="Verdana"/>
        </w:rPr>
        <w:t xml:space="preserve"> </w:t>
      </w:r>
      <w:r>
        <w:rPr>
          <w:rStyle w:val="FootnoteReference"/>
          <w:rFonts w:ascii="Verdana" w:hAnsi="Verdana"/>
        </w:rPr>
        <w:footnoteReference w:id="9"/>
      </w:r>
    </w:p>
    <w:p w14:paraId="094A22E9" w14:textId="77777777" w:rsidR="004A5C81" w:rsidRDefault="004A5C81" w:rsidP="00443AC5">
      <w:pPr>
        <w:rPr>
          <w:rFonts w:ascii="Verdana" w:hAnsi="Verdana"/>
          <w:b/>
          <w:color w:val="000000"/>
        </w:rPr>
      </w:pPr>
    </w:p>
    <w:p w14:paraId="7C29E828" w14:textId="77777777" w:rsidR="007C414D" w:rsidRDefault="007C414D" w:rsidP="007C414D">
      <w:pPr>
        <w:jc w:val="both"/>
        <w:rPr>
          <w:rFonts w:ascii="Verdana" w:hAnsi="Verdana"/>
        </w:rPr>
      </w:pPr>
      <w:r>
        <w:rPr>
          <w:rFonts w:ascii="Verdana" w:eastAsia="Arial" w:hAnsi="Verdana"/>
        </w:rPr>
        <w:t xml:space="preserve">Hearing loss </w:t>
      </w:r>
      <w:r w:rsidRPr="00B5229E">
        <w:rPr>
          <w:rFonts w:ascii="Verdana" w:eastAsia="Arial" w:hAnsi="Verdana"/>
        </w:rPr>
        <w:t>is a very common condition affecting approximately one in seven of the population, with a steeply increasing incidence with age.</w:t>
      </w:r>
      <w:r w:rsidR="00195D54" w:rsidRPr="00195D54">
        <w:rPr>
          <w:rFonts w:ascii="Verdana" w:hAnsi="Verdana"/>
        </w:rPr>
        <w:t xml:space="preserve"> </w:t>
      </w:r>
      <w:r w:rsidR="00195D54" w:rsidRPr="00397849">
        <w:rPr>
          <w:rFonts w:ascii="Verdana" w:hAnsi="Verdana"/>
        </w:rPr>
        <w:t xml:space="preserve">There are approximately 613,000 people older than 16 years with severe to profound deafness in England and Wales. In the UK around 3% of people older than 50 and 8% of those older than 70 years have severe to profound hearing loss. </w:t>
      </w:r>
      <w:r w:rsidR="00195D54" w:rsidRPr="00E551F5">
        <w:rPr>
          <w:rFonts w:ascii="Verdana" w:hAnsi="Verdana"/>
        </w:rPr>
        <w:t xml:space="preserve">There are more females than males with hearing loss although this is associated with females living longer rather than gender differences in causes of deafness. </w:t>
      </w:r>
    </w:p>
    <w:p w14:paraId="6EBC4A7A" w14:textId="77777777" w:rsidR="004A5C81" w:rsidRPr="00B5229E" w:rsidRDefault="004A5C81" w:rsidP="007C414D">
      <w:pPr>
        <w:jc w:val="both"/>
        <w:rPr>
          <w:rFonts w:ascii="Verdana" w:hAnsi="Verdana" w:cs="Segoe UI"/>
        </w:rPr>
      </w:pPr>
    </w:p>
    <w:p w14:paraId="48822594" w14:textId="77777777" w:rsidR="00F418A9" w:rsidRDefault="007C414D" w:rsidP="007C414D">
      <w:pPr>
        <w:jc w:val="both"/>
        <w:rPr>
          <w:rFonts w:ascii="Verdana" w:hAnsi="Verdana" w:cs="Segoe UI"/>
        </w:rPr>
      </w:pPr>
      <w:r w:rsidRPr="00B5229E">
        <w:rPr>
          <w:rFonts w:ascii="Verdana" w:hAnsi="Verdana" w:cs="Segoe UI"/>
        </w:rPr>
        <w:t xml:space="preserve">The ageing population means that demand for both hearing assessment and associated interventions is set to rise over the coming years. The vast majority of the ageing population with poor hearing can benefit from </w:t>
      </w:r>
      <w:r w:rsidR="000B76DB">
        <w:rPr>
          <w:rFonts w:ascii="Verdana" w:hAnsi="Verdana" w:cs="Segoe UI"/>
        </w:rPr>
        <w:t xml:space="preserve">a </w:t>
      </w:r>
      <w:r w:rsidRPr="00B5229E">
        <w:rPr>
          <w:rFonts w:ascii="Verdana" w:hAnsi="Verdana" w:cs="Segoe UI"/>
        </w:rPr>
        <w:t xml:space="preserve">direct primary care referral to adult hearing services, often based in the community,  and do not require referral to an Ear, Nose and Throat (ENT) out-patient appointment prior to </w:t>
      </w:r>
      <w:proofErr w:type="spellStart"/>
      <w:r w:rsidRPr="00B5229E">
        <w:rPr>
          <w:rFonts w:ascii="Verdana" w:hAnsi="Verdana" w:cs="Segoe UI"/>
        </w:rPr>
        <w:t>audiological</w:t>
      </w:r>
      <w:proofErr w:type="spellEnd"/>
      <w:r w:rsidRPr="00B5229E">
        <w:rPr>
          <w:rFonts w:ascii="Verdana" w:hAnsi="Verdana" w:cs="Segoe UI"/>
        </w:rPr>
        <w:t xml:space="preserve"> assessment. This facilitates timely diagnosis and access to support for adults with poor hearing.</w:t>
      </w:r>
    </w:p>
    <w:p w14:paraId="43E870F6" w14:textId="3743229C" w:rsidR="007C414D" w:rsidRPr="00F418A9" w:rsidRDefault="00F418A9" w:rsidP="00F418A9">
      <w:pPr>
        <w:spacing w:before="100" w:beforeAutospacing="1" w:after="100" w:afterAutospacing="1"/>
        <w:jc w:val="both"/>
        <w:rPr>
          <w:rFonts w:ascii="Verdana" w:hAnsi="Verdana"/>
          <w:color w:val="000000"/>
        </w:rPr>
      </w:pPr>
      <w:r w:rsidRPr="00F418A9">
        <w:rPr>
          <w:rFonts w:ascii="Verdana" w:hAnsi="Verdana"/>
          <w:color w:val="000000"/>
        </w:rPr>
        <w:lastRenderedPageBreak/>
        <w:t>Older People are also less likely to have access to a car</w:t>
      </w:r>
      <w:r w:rsidR="00780DE8">
        <w:rPr>
          <w:rFonts w:ascii="Verdana" w:hAnsi="Verdana"/>
          <w:color w:val="000000"/>
        </w:rPr>
        <w:t>.</w:t>
      </w:r>
      <w:r w:rsidRPr="00F418A9">
        <w:rPr>
          <w:rFonts w:ascii="Verdana" w:hAnsi="Verdana"/>
          <w:color w:val="000000"/>
        </w:rPr>
        <w:t xml:space="preserve"> </w:t>
      </w:r>
      <w:r w:rsidR="00780DE8">
        <w:rPr>
          <w:rFonts w:ascii="Verdana" w:hAnsi="Verdana"/>
          <w:color w:val="000000"/>
        </w:rPr>
        <w:t xml:space="preserve">For </w:t>
      </w:r>
      <w:r w:rsidRPr="00F418A9">
        <w:rPr>
          <w:rFonts w:ascii="Verdana" w:hAnsi="Verdana"/>
          <w:color w:val="000000"/>
        </w:rPr>
        <w:t>the over 70 year age group</w:t>
      </w:r>
      <w:r w:rsidR="00780DE8">
        <w:rPr>
          <w:rFonts w:ascii="Verdana" w:hAnsi="Verdana"/>
          <w:color w:val="000000"/>
        </w:rPr>
        <w:t>,</w:t>
      </w:r>
      <w:r w:rsidRPr="00F418A9">
        <w:rPr>
          <w:rFonts w:ascii="Verdana" w:hAnsi="Verdana"/>
          <w:color w:val="000000"/>
        </w:rPr>
        <w:t xml:space="preserve"> only 50% of women holding driving licences</w:t>
      </w:r>
      <w:r w:rsidR="00780DE8">
        <w:rPr>
          <w:rFonts w:ascii="Verdana" w:hAnsi="Verdana"/>
          <w:color w:val="000000"/>
        </w:rPr>
        <w:t>,</w:t>
      </w:r>
      <w:r w:rsidRPr="00F418A9">
        <w:rPr>
          <w:rFonts w:ascii="Verdana" w:hAnsi="Verdana"/>
          <w:color w:val="000000"/>
        </w:rPr>
        <w:t xml:space="preserve"> compared to 73% of men. Women, </w:t>
      </w:r>
      <w:r w:rsidR="00780DE8">
        <w:rPr>
          <w:rFonts w:ascii="Verdana" w:hAnsi="Verdana"/>
          <w:color w:val="000000"/>
        </w:rPr>
        <w:t xml:space="preserve">and </w:t>
      </w:r>
      <w:r w:rsidRPr="00F418A9">
        <w:rPr>
          <w:rFonts w:ascii="Verdana" w:hAnsi="Verdana"/>
          <w:color w:val="000000"/>
        </w:rPr>
        <w:t>particularly older women, are therefore likely to be more dependent on public transport and would benefit from community/locality based services and those easily accessible by bus or train.</w:t>
      </w:r>
      <w:r w:rsidRPr="00F418A9">
        <w:rPr>
          <w:rStyle w:val="FootnoteReference"/>
          <w:rFonts w:ascii="Verdana" w:hAnsi="Verdana"/>
          <w:color w:val="000000"/>
        </w:rPr>
        <w:footnoteReference w:id="10"/>
      </w:r>
    </w:p>
    <w:p w14:paraId="4742712C" w14:textId="5077691B" w:rsidR="007C414D" w:rsidRPr="007C414D" w:rsidRDefault="007C414D" w:rsidP="004A5C81">
      <w:pPr>
        <w:jc w:val="both"/>
        <w:rPr>
          <w:rFonts w:ascii="Verdana" w:hAnsi="Verdana"/>
          <w:color w:val="000000"/>
        </w:rPr>
      </w:pPr>
      <w:r w:rsidRPr="007C414D">
        <w:rPr>
          <w:rFonts w:ascii="Verdana" w:hAnsi="Verdana"/>
          <w:color w:val="000000"/>
        </w:rPr>
        <w:t xml:space="preserve">Older people are </w:t>
      </w:r>
      <w:r w:rsidR="00780DE8" w:rsidRPr="007C414D">
        <w:rPr>
          <w:rFonts w:ascii="Verdana" w:hAnsi="Verdana"/>
          <w:color w:val="000000"/>
        </w:rPr>
        <w:t>t</w:t>
      </w:r>
      <w:r w:rsidR="00780DE8">
        <w:rPr>
          <w:rFonts w:ascii="Verdana" w:hAnsi="Verdana"/>
          <w:color w:val="000000"/>
        </w:rPr>
        <w:t xml:space="preserve">hus </w:t>
      </w:r>
      <w:r w:rsidR="004A5C81">
        <w:rPr>
          <w:rFonts w:ascii="Verdana" w:hAnsi="Verdana"/>
          <w:color w:val="000000"/>
        </w:rPr>
        <w:t>likely to be impacted</w:t>
      </w:r>
      <w:r w:rsidR="00D8314F">
        <w:rPr>
          <w:rFonts w:ascii="Verdana" w:hAnsi="Verdana"/>
          <w:color w:val="000000"/>
        </w:rPr>
        <w:t xml:space="preserve"> more by the move to a central single implantable device hub</w:t>
      </w:r>
      <w:r w:rsidRPr="007C414D">
        <w:rPr>
          <w:rFonts w:ascii="Verdana" w:hAnsi="Verdana"/>
          <w:color w:val="000000"/>
        </w:rPr>
        <w:t xml:space="preserve"> as they tend to be high users of the service</w:t>
      </w:r>
      <w:r w:rsidR="00780DE8">
        <w:rPr>
          <w:rFonts w:ascii="Verdana" w:hAnsi="Verdana"/>
          <w:color w:val="000000"/>
        </w:rPr>
        <w:t>.</w:t>
      </w:r>
      <w:r w:rsidRPr="007C414D">
        <w:rPr>
          <w:rFonts w:ascii="Verdana" w:hAnsi="Verdana"/>
          <w:color w:val="000000"/>
        </w:rPr>
        <w:t xml:space="preserve"> </w:t>
      </w:r>
      <w:r w:rsidR="00780DE8">
        <w:rPr>
          <w:rFonts w:ascii="Verdana" w:hAnsi="Verdana"/>
          <w:color w:val="000000"/>
        </w:rPr>
        <w:t>S</w:t>
      </w:r>
      <w:r w:rsidRPr="007C414D">
        <w:rPr>
          <w:rFonts w:ascii="Verdana" w:hAnsi="Verdana"/>
          <w:color w:val="000000"/>
        </w:rPr>
        <w:t xml:space="preserve">ome patients who are reliant on public transport may benefit from </w:t>
      </w:r>
      <w:r w:rsidR="00F33CB2">
        <w:rPr>
          <w:rFonts w:ascii="Verdana" w:hAnsi="Verdana"/>
          <w:color w:val="000000"/>
        </w:rPr>
        <w:t>the</w:t>
      </w:r>
      <w:r w:rsidR="004A5C81">
        <w:rPr>
          <w:rFonts w:ascii="Verdana" w:hAnsi="Verdana"/>
          <w:color w:val="000000"/>
        </w:rPr>
        <w:t xml:space="preserve"> </w:t>
      </w:r>
      <w:r w:rsidR="004A5C81" w:rsidRPr="004A5C81">
        <w:rPr>
          <w:rFonts w:ascii="Verdana" w:hAnsi="Verdana"/>
        </w:rPr>
        <w:t xml:space="preserve">outreach service </w:t>
      </w:r>
      <w:r w:rsidR="00D8314F">
        <w:rPr>
          <w:rFonts w:ascii="Verdana" w:hAnsi="Verdana"/>
        </w:rPr>
        <w:t>that</w:t>
      </w:r>
      <w:r w:rsidR="00F33CB2">
        <w:rPr>
          <w:rFonts w:ascii="Verdana" w:hAnsi="Verdana"/>
        </w:rPr>
        <w:t xml:space="preserve"> will</w:t>
      </w:r>
      <w:r w:rsidR="004A5C81" w:rsidRPr="004A5C81">
        <w:rPr>
          <w:rFonts w:ascii="Verdana" w:hAnsi="Verdana"/>
        </w:rPr>
        <w:t xml:space="preserve"> be available.</w:t>
      </w:r>
      <w:r w:rsidR="00E27B8E">
        <w:rPr>
          <w:rFonts w:ascii="Verdana" w:hAnsi="Verdana"/>
        </w:rPr>
        <w:t xml:space="preserve">  We will seek to understand this further through the engagement process.  </w:t>
      </w:r>
    </w:p>
    <w:p w14:paraId="5AFC7CB9" w14:textId="77777777" w:rsidR="002E13DB" w:rsidRPr="00DD1E09" w:rsidRDefault="002E13DB" w:rsidP="002E13DB">
      <w:pPr>
        <w:jc w:val="both"/>
        <w:rPr>
          <w:rFonts w:ascii="Verdana" w:hAnsi="Verdana"/>
          <w:color w:val="000000"/>
        </w:rPr>
      </w:pPr>
    </w:p>
    <w:p w14:paraId="2349B9F3" w14:textId="77777777" w:rsidR="00DD1E09" w:rsidRDefault="004651ED" w:rsidP="00443AC5">
      <w:pPr>
        <w:rPr>
          <w:rFonts w:ascii="Verdana" w:hAnsi="Verdana"/>
          <w:b/>
          <w:color w:val="000000"/>
        </w:rPr>
      </w:pPr>
      <w:r w:rsidRPr="004651ED">
        <w:rPr>
          <w:rFonts w:ascii="Verdana" w:hAnsi="Verdana"/>
          <w:b/>
          <w:color w:val="000000"/>
        </w:rPr>
        <w:t>Disability</w:t>
      </w:r>
    </w:p>
    <w:p w14:paraId="5E6F529A" w14:textId="77777777" w:rsidR="00DD1E09" w:rsidRDefault="00DD1E09" w:rsidP="00443AC5">
      <w:pPr>
        <w:rPr>
          <w:rFonts w:ascii="Verdana" w:hAnsi="Verdana"/>
          <w:b/>
          <w:color w:val="000000"/>
        </w:rPr>
      </w:pPr>
    </w:p>
    <w:p w14:paraId="6FC0C80B" w14:textId="5CEB4F95" w:rsidR="004651ED" w:rsidRPr="008864AF" w:rsidRDefault="00DD1E09" w:rsidP="004651ED">
      <w:pPr>
        <w:jc w:val="both"/>
        <w:rPr>
          <w:rFonts w:ascii="Verdana" w:hAnsi="Verdana"/>
          <w:b/>
        </w:rPr>
      </w:pPr>
      <w:r w:rsidRPr="00DD1E09">
        <w:rPr>
          <w:rFonts w:ascii="Verdana" w:hAnsi="Verdana"/>
          <w:color w:val="000000"/>
        </w:rPr>
        <w:t xml:space="preserve">Disabled people are ten times more likely to report ill health and also approximately half are likely to experience mental ill health. </w:t>
      </w:r>
      <w:r w:rsidR="004651ED" w:rsidRPr="00DD1E09">
        <w:rPr>
          <w:rFonts w:ascii="Verdana" w:hAnsi="Verdana" w:cs="Arial"/>
        </w:rPr>
        <w:t>The proportion of people identifying themselves as disabled</w:t>
      </w:r>
      <w:r w:rsidR="004651ED" w:rsidRPr="00DD1E09">
        <w:rPr>
          <w:rStyle w:val="FootnoteReference"/>
          <w:rFonts w:ascii="Verdana" w:hAnsi="Verdana" w:cs="Arial"/>
        </w:rPr>
        <w:footnoteReference w:id="11"/>
      </w:r>
      <w:r w:rsidR="004651ED" w:rsidRPr="00DD1E09">
        <w:rPr>
          <w:rFonts w:ascii="Verdana" w:hAnsi="Verdana" w:cs="Arial"/>
        </w:rPr>
        <w:t xml:space="preserve"> </w:t>
      </w:r>
      <w:r w:rsidR="00A645A7">
        <w:rPr>
          <w:rFonts w:ascii="Verdana" w:hAnsi="Verdana" w:cs="Arial"/>
        </w:rPr>
        <w:t>in Wales as a whole is</w:t>
      </w:r>
      <w:r w:rsidR="004651ED" w:rsidRPr="00DD1E09">
        <w:rPr>
          <w:rFonts w:ascii="Verdana" w:hAnsi="Verdana" w:cs="Arial"/>
        </w:rPr>
        <w:t xml:space="preserve"> 22.7%. There is a great deal of variation in disability among the </w:t>
      </w:r>
      <w:r w:rsidR="00E46CDA">
        <w:rPr>
          <w:rFonts w:ascii="Verdana" w:hAnsi="Verdana" w:cs="Arial"/>
        </w:rPr>
        <w:t>H</w:t>
      </w:r>
      <w:r w:rsidR="004651ED" w:rsidRPr="00DD1E09">
        <w:rPr>
          <w:rFonts w:ascii="Verdana" w:hAnsi="Verdana" w:cs="Arial"/>
        </w:rPr>
        <w:t xml:space="preserve">ealth </w:t>
      </w:r>
      <w:r w:rsidR="00E46CDA">
        <w:rPr>
          <w:rFonts w:ascii="Verdana" w:hAnsi="Verdana" w:cs="Arial"/>
        </w:rPr>
        <w:t>B</w:t>
      </w:r>
      <w:r w:rsidR="00A645A7">
        <w:rPr>
          <w:rFonts w:ascii="Verdana" w:hAnsi="Verdana" w:cs="Arial"/>
        </w:rPr>
        <w:t xml:space="preserve">oards, </w:t>
      </w:r>
      <w:r w:rsidR="004651ED" w:rsidRPr="00DD1E09">
        <w:rPr>
          <w:rFonts w:ascii="Verdana" w:hAnsi="Verdana" w:cs="Arial"/>
        </w:rPr>
        <w:t>Cardiff and Vale UHB has the lowest proportion of its population reporting disability at 18.6%, while Cwm Taf at 26.1% has the highest proportion of its population reporting disability.</w:t>
      </w:r>
      <w:r w:rsidR="008864AF">
        <w:rPr>
          <w:rFonts w:ascii="Verdana" w:hAnsi="Verdana"/>
          <w:b/>
        </w:rPr>
        <w:t xml:space="preserve">  </w:t>
      </w:r>
      <w:r w:rsidR="004651ED" w:rsidRPr="000E117C">
        <w:rPr>
          <w:rFonts w:ascii="Verdana" w:hAnsi="Verdana" w:cs="Arial"/>
        </w:rPr>
        <w:t xml:space="preserve">At a </w:t>
      </w:r>
      <w:r w:rsidR="00E46CDA">
        <w:rPr>
          <w:rFonts w:ascii="Verdana" w:hAnsi="Verdana" w:cs="Arial"/>
        </w:rPr>
        <w:t>L</w:t>
      </w:r>
      <w:r w:rsidR="004651ED" w:rsidRPr="000E117C">
        <w:rPr>
          <w:rFonts w:ascii="Verdana" w:hAnsi="Verdana" w:cs="Arial"/>
        </w:rPr>
        <w:t xml:space="preserve">ocal </w:t>
      </w:r>
      <w:r w:rsidR="00E46CDA">
        <w:rPr>
          <w:rFonts w:ascii="Verdana" w:hAnsi="Verdana" w:cs="Arial"/>
        </w:rPr>
        <w:t>A</w:t>
      </w:r>
      <w:r w:rsidR="004651ED" w:rsidRPr="000E117C">
        <w:rPr>
          <w:rFonts w:ascii="Verdana" w:hAnsi="Verdana" w:cs="Arial"/>
        </w:rPr>
        <w:t>uthority level Cardiff (18.0%), Monmouthshire (20.1%), the Vale of Glamorgan (20.3%) and Newport (20.8%) stand out with the lowest population proportions reporting a disability.</w:t>
      </w:r>
    </w:p>
    <w:p w14:paraId="51C72FA0" w14:textId="77777777" w:rsidR="00DD1E09" w:rsidRDefault="00DD1E09" w:rsidP="00443AC5">
      <w:pPr>
        <w:rPr>
          <w:rFonts w:ascii="Verdana" w:hAnsi="Verdana"/>
          <w:b/>
        </w:rPr>
      </w:pPr>
    </w:p>
    <w:p w14:paraId="617B010A" w14:textId="77777777" w:rsidR="003477E6" w:rsidRDefault="003477E6" w:rsidP="003477E6">
      <w:pPr>
        <w:jc w:val="both"/>
        <w:rPr>
          <w:rFonts w:ascii="Verdana" w:hAnsi="Verdana"/>
          <w:color w:val="000000"/>
        </w:rPr>
      </w:pPr>
      <w:r w:rsidRPr="003477E6">
        <w:rPr>
          <w:rFonts w:ascii="Verdana" w:hAnsi="Verdana"/>
          <w:color w:val="000000"/>
        </w:rPr>
        <w:t>People who</w:t>
      </w:r>
      <w:r w:rsidR="00DD1E09">
        <w:rPr>
          <w:rFonts w:ascii="Verdana" w:hAnsi="Verdana"/>
          <w:color w:val="000000"/>
        </w:rPr>
        <w:t xml:space="preserve"> have a disability are twic</w:t>
      </w:r>
      <w:r w:rsidR="002D28EC">
        <w:rPr>
          <w:rFonts w:ascii="Verdana" w:hAnsi="Verdana"/>
          <w:color w:val="000000"/>
        </w:rPr>
        <w:t xml:space="preserve">e as </w:t>
      </w:r>
      <w:r w:rsidR="00F33CB2">
        <w:rPr>
          <w:rFonts w:ascii="Verdana" w:hAnsi="Verdana"/>
          <w:color w:val="000000"/>
        </w:rPr>
        <w:t xml:space="preserve">likely </w:t>
      </w:r>
      <w:r w:rsidR="00D87505">
        <w:rPr>
          <w:rFonts w:ascii="Verdana" w:hAnsi="Verdana"/>
          <w:color w:val="000000"/>
        </w:rPr>
        <w:t>as</w:t>
      </w:r>
      <w:r w:rsidRPr="003477E6">
        <w:rPr>
          <w:rFonts w:ascii="Verdana" w:hAnsi="Verdana"/>
          <w:color w:val="000000"/>
        </w:rPr>
        <w:t xml:space="preserve"> people without a disability to have no access to a car (Office for Disability Issues 2009). Disabled people are also less confident in using public transport because of physical access issues</w:t>
      </w:r>
      <w:r w:rsidR="00780DE8">
        <w:rPr>
          <w:rFonts w:ascii="Verdana" w:hAnsi="Verdana"/>
          <w:color w:val="000000"/>
        </w:rPr>
        <w:t>,</w:t>
      </w:r>
      <w:r w:rsidRPr="003477E6">
        <w:rPr>
          <w:rFonts w:ascii="Verdana" w:hAnsi="Verdana"/>
          <w:color w:val="000000"/>
        </w:rPr>
        <w:t xml:space="preserve"> but also because of staff attitudes (Framework for Action on Independent Living 2012).</w:t>
      </w:r>
    </w:p>
    <w:p w14:paraId="46E3B666" w14:textId="77777777" w:rsidR="002E13DB" w:rsidRPr="00F33CB2" w:rsidRDefault="002E13DB" w:rsidP="00F33CB2">
      <w:pPr>
        <w:spacing w:before="100" w:beforeAutospacing="1" w:after="100" w:afterAutospacing="1"/>
        <w:jc w:val="both"/>
        <w:rPr>
          <w:rFonts w:ascii="Verdana" w:hAnsi="Verdana"/>
          <w:color w:val="000000"/>
        </w:rPr>
      </w:pPr>
      <w:r w:rsidRPr="002E13DB">
        <w:rPr>
          <w:rFonts w:ascii="Verdana" w:hAnsi="Verdana"/>
          <w:color w:val="000000"/>
        </w:rPr>
        <w:t>Patients are eligible for non-emergency patient transport if the medical condition of the patient is such that they require</w:t>
      </w:r>
      <w:r w:rsidRPr="00F33CB2">
        <w:rPr>
          <w:rFonts w:ascii="Verdana" w:hAnsi="Verdana"/>
          <w:color w:val="000000"/>
        </w:rPr>
        <w:t xml:space="preserve"> </w:t>
      </w:r>
      <w:r w:rsidRPr="002E13DB">
        <w:rPr>
          <w:rFonts w:ascii="Verdana" w:hAnsi="Verdana"/>
          <w:color w:val="000000"/>
        </w:rPr>
        <w:t>the skills of ambulance staff or appropriately skilled personnel on or for the journey; and/or if the medical condition of the patient is such that it would be detrimental to the patient’s condition or recovery if they were to travel by any other means.</w:t>
      </w:r>
    </w:p>
    <w:p w14:paraId="28D931C3" w14:textId="77777777" w:rsidR="003477E6" w:rsidRDefault="003477E6" w:rsidP="003477E6">
      <w:pPr>
        <w:jc w:val="both"/>
        <w:rPr>
          <w:rFonts w:ascii="Verdana" w:hAnsi="Verdana" w:cs="Arial"/>
        </w:rPr>
      </w:pPr>
      <w:r w:rsidRPr="000E117C">
        <w:rPr>
          <w:rFonts w:ascii="Verdana" w:hAnsi="Verdana" w:cs="Arial"/>
        </w:rPr>
        <w:t>Some p</w:t>
      </w:r>
      <w:r>
        <w:rPr>
          <w:rFonts w:ascii="Verdana" w:hAnsi="Verdana" w:cs="Arial"/>
        </w:rPr>
        <w:t>eople undergoing hearing loss</w:t>
      </w:r>
      <w:r w:rsidRPr="000E117C">
        <w:rPr>
          <w:rFonts w:ascii="Verdana" w:hAnsi="Verdana" w:cs="Arial"/>
        </w:rPr>
        <w:t xml:space="preserve"> surgery may be classed as disabled. To classify as disabled under the Equality Act 2010, you must have a physical or mental impairment that has a ‘substantial’ and ‘long-term’ negative effect on your ability to do normal daily activities. </w:t>
      </w:r>
    </w:p>
    <w:p w14:paraId="2F56BCFD" w14:textId="77777777" w:rsidR="007B0F53" w:rsidRDefault="007B0F53" w:rsidP="003477E6">
      <w:pPr>
        <w:jc w:val="both"/>
        <w:rPr>
          <w:rFonts w:ascii="Verdana" w:hAnsi="Verdana" w:cs="Arial"/>
        </w:rPr>
      </w:pPr>
    </w:p>
    <w:p w14:paraId="2D9D03C3" w14:textId="77777777" w:rsidR="007B0F53" w:rsidRDefault="007B0F53" w:rsidP="003477E6">
      <w:pPr>
        <w:jc w:val="both"/>
        <w:rPr>
          <w:rFonts w:ascii="Verdana" w:hAnsi="Verdana"/>
        </w:rPr>
      </w:pPr>
      <w:r w:rsidRPr="007B0F53">
        <w:rPr>
          <w:rFonts w:ascii="Verdana" w:hAnsi="Verdana"/>
        </w:rPr>
        <w:lastRenderedPageBreak/>
        <w:t>The service will be able to provide and meet the needs of patients with any level of disability and be able to make reasonable adjustment</w:t>
      </w:r>
      <w:r w:rsidR="00E46CDA">
        <w:rPr>
          <w:rFonts w:ascii="Verdana" w:hAnsi="Verdana"/>
        </w:rPr>
        <w:t>s</w:t>
      </w:r>
      <w:r w:rsidRPr="007B0F53">
        <w:rPr>
          <w:rFonts w:ascii="Verdana" w:hAnsi="Verdana"/>
        </w:rPr>
        <w:t xml:space="preserve"> to meet the person</w:t>
      </w:r>
      <w:r w:rsidR="00E46CDA">
        <w:rPr>
          <w:rFonts w:ascii="Verdana" w:hAnsi="Verdana"/>
        </w:rPr>
        <w:t>’s</w:t>
      </w:r>
      <w:r w:rsidRPr="007B0F53">
        <w:rPr>
          <w:rFonts w:ascii="Verdana" w:hAnsi="Verdana"/>
        </w:rPr>
        <w:t xml:space="preserve"> needs if required. However, based on the currently available evidence, no impact is anticipated on this protected characteristic group but may need further </w:t>
      </w:r>
      <w:r w:rsidR="00E27B8E">
        <w:rPr>
          <w:rFonts w:ascii="Verdana" w:hAnsi="Verdana"/>
        </w:rPr>
        <w:t>consideration</w:t>
      </w:r>
      <w:r w:rsidRPr="007B0F53">
        <w:rPr>
          <w:rFonts w:ascii="Verdana" w:hAnsi="Verdana"/>
        </w:rPr>
        <w:t xml:space="preserve"> following the engagement process.</w:t>
      </w:r>
    </w:p>
    <w:p w14:paraId="7BA61F1C" w14:textId="77777777" w:rsidR="00754141" w:rsidRPr="000E117C" w:rsidRDefault="00754141" w:rsidP="00425C74">
      <w:pPr>
        <w:rPr>
          <w:rFonts w:ascii="Verdana" w:hAnsi="Verdana" w:cs="Arial"/>
        </w:rPr>
      </w:pPr>
    </w:p>
    <w:p w14:paraId="2F047C1E" w14:textId="77777777" w:rsidR="00425C74" w:rsidRDefault="00425C74" w:rsidP="00425C74">
      <w:pPr>
        <w:rPr>
          <w:rFonts w:ascii="Verdana" w:hAnsi="Verdana" w:cs="Arial"/>
          <w:sz w:val="22"/>
        </w:rPr>
      </w:pPr>
      <w:r w:rsidRPr="00566665">
        <w:rPr>
          <w:rFonts w:ascii="Verdana" w:hAnsi="Verdana" w:cs="Arial"/>
          <w:b/>
          <w:sz w:val="22"/>
        </w:rPr>
        <w:t>Table 3:</w:t>
      </w:r>
      <w:r w:rsidRPr="00257C7B">
        <w:rPr>
          <w:rFonts w:ascii="Verdana" w:hAnsi="Verdana" w:cs="Arial"/>
          <w:sz w:val="22"/>
        </w:rPr>
        <w:t xml:space="preserve"> Long-term health problem or disability by local authorities in Wales (Source: Table QS303EW 2011 Census, ONS).</w:t>
      </w:r>
    </w:p>
    <w:p w14:paraId="5A1A69FB" w14:textId="77777777" w:rsidR="00566665" w:rsidRPr="00257C7B" w:rsidRDefault="00566665" w:rsidP="00425C74">
      <w:pPr>
        <w:rPr>
          <w:rFonts w:ascii="Verdana" w:hAnsi="Verdana" w:cs="Arial"/>
          <w:sz w:val="28"/>
        </w:rPr>
      </w:pPr>
    </w:p>
    <w:tbl>
      <w:tblPr>
        <w:tblW w:w="9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1216"/>
        <w:gridCol w:w="1216"/>
        <w:gridCol w:w="1216"/>
        <w:gridCol w:w="1303"/>
        <w:gridCol w:w="1473"/>
      </w:tblGrid>
      <w:tr w:rsidR="00425C74" w:rsidRPr="000E117C" w14:paraId="106C84FA" w14:textId="77777777" w:rsidTr="00C21FEC">
        <w:trPr>
          <w:trHeight w:val="3739"/>
        </w:trPr>
        <w:tc>
          <w:tcPr>
            <w:tcW w:w="2759" w:type="dxa"/>
            <w:shd w:val="clear" w:color="auto" w:fill="auto"/>
            <w:noWrap/>
            <w:vAlign w:val="bottom"/>
            <w:hideMark/>
          </w:tcPr>
          <w:p w14:paraId="4260AF48" w14:textId="77777777" w:rsidR="00425C74" w:rsidRPr="000E117C" w:rsidRDefault="00425C74" w:rsidP="00425C74">
            <w:pPr>
              <w:rPr>
                <w:sz w:val="20"/>
                <w:szCs w:val="20"/>
              </w:rPr>
            </w:pPr>
          </w:p>
        </w:tc>
        <w:tc>
          <w:tcPr>
            <w:tcW w:w="1216" w:type="dxa"/>
            <w:shd w:val="clear" w:color="auto" w:fill="auto"/>
            <w:noWrap/>
            <w:textDirection w:val="btLr"/>
            <w:vAlign w:val="center"/>
            <w:hideMark/>
          </w:tcPr>
          <w:p w14:paraId="1231229E"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Day-to-day activities limited a lot</w:t>
            </w:r>
          </w:p>
        </w:tc>
        <w:tc>
          <w:tcPr>
            <w:tcW w:w="1216" w:type="dxa"/>
            <w:shd w:val="clear" w:color="auto" w:fill="auto"/>
            <w:noWrap/>
            <w:textDirection w:val="btLr"/>
            <w:vAlign w:val="bottom"/>
            <w:hideMark/>
          </w:tcPr>
          <w:p w14:paraId="0209C97D"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Day-to-day activities limited a little</w:t>
            </w:r>
          </w:p>
        </w:tc>
        <w:tc>
          <w:tcPr>
            <w:tcW w:w="1216" w:type="dxa"/>
            <w:shd w:val="clear" w:color="auto" w:fill="auto"/>
            <w:noWrap/>
            <w:textDirection w:val="btLr"/>
            <w:vAlign w:val="bottom"/>
            <w:hideMark/>
          </w:tcPr>
          <w:p w14:paraId="4C837BD4"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0"/>
              </w:rPr>
              <w:t>Day-to-day activities not limited</w:t>
            </w:r>
          </w:p>
        </w:tc>
        <w:tc>
          <w:tcPr>
            <w:tcW w:w="1303" w:type="dxa"/>
            <w:shd w:val="clear" w:color="auto" w:fill="auto"/>
            <w:noWrap/>
            <w:vAlign w:val="bottom"/>
            <w:hideMark/>
          </w:tcPr>
          <w:p w14:paraId="6B324F6E"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Total (%)</w:t>
            </w:r>
          </w:p>
        </w:tc>
        <w:tc>
          <w:tcPr>
            <w:tcW w:w="1473" w:type="dxa"/>
            <w:shd w:val="clear" w:color="auto" w:fill="auto"/>
            <w:noWrap/>
            <w:vAlign w:val="bottom"/>
            <w:hideMark/>
          </w:tcPr>
          <w:p w14:paraId="041E1086"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Total</w:t>
            </w:r>
          </w:p>
        </w:tc>
      </w:tr>
      <w:tr w:rsidR="00425C74" w:rsidRPr="000E117C" w14:paraId="10695E36" w14:textId="77777777" w:rsidTr="00C21FEC">
        <w:trPr>
          <w:trHeight w:val="255"/>
        </w:trPr>
        <w:tc>
          <w:tcPr>
            <w:tcW w:w="2759" w:type="dxa"/>
            <w:shd w:val="clear" w:color="auto" w:fill="auto"/>
            <w:noWrap/>
            <w:vAlign w:val="bottom"/>
            <w:hideMark/>
          </w:tcPr>
          <w:p w14:paraId="2E362950" w14:textId="77777777" w:rsidR="00425C74" w:rsidRPr="000E117C" w:rsidRDefault="00425C74" w:rsidP="00425C74">
            <w:pPr>
              <w:rPr>
                <w:rFonts w:ascii="Verdana" w:hAnsi="Verdana"/>
                <w:b/>
                <w:color w:val="000000"/>
                <w:sz w:val="20"/>
                <w:szCs w:val="20"/>
              </w:rPr>
            </w:pPr>
            <w:r w:rsidRPr="000E117C">
              <w:rPr>
                <w:rFonts w:ascii="Verdana" w:hAnsi="Verdana"/>
                <w:b/>
                <w:color w:val="000000"/>
                <w:sz w:val="20"/>
                <w:szCs w:val="20"/>
              </w:rPr>
              <w:t>Region</w:t>
            </w:r>
          </w:p>
        </w:tc>
        <w:tc>
          <w:tcPr>
            <w:tcW w:w="1216" w:type="dxa"/>
            <w:shd w:val="clear" w:color="auto" w:fill="auto"/>
            <w:noWrap/>
            <w:vAlign w:val="bottom"/>
            <w:hideMark/>
          </w:tcPr>
          <w:p w14:paraId="6EDBA845" w14:textId="77777777" w:rsidR="00425C74" w:rsidRPr="000E117C" w:rsidRDefault="00425C74" w:rsidP="00425C74">
            <w:pPr>
              <w:rPr>
                <w:rFonts w:ascii="Verdana" w:hAnsi="Verdana"/>
                <w:color w:val="000000"/>
                <w:sz w:val="20"/>
                <w:szCs w:val="20"/>
              </w:rPr>
            </w:pPr>
          </w:p>
        </w:tc>
        <w:tc>
          <w:tcPr>
            <w:tcW w:w="1216" w:type="dxa"/>
            <w:shd w:val="clear" w:color="auto" w:fill="auto"/>
            <w:noWrap/>
            <w:vAlign w:val="bottom"/>
            <w:hideMark/>
          </w:tcPr>
          <w:p w14:paraId="7BD34078" w14:textId="77777777" w:rsidR="00425C74" w:rsidRPr="000E117C" w:rsidRDefault="00425C74" w:rsidP="00425C74">
            <w:pPr>
              <w:rPr>
                <w:sz w:val="20"/>
                <w:szCs w:val="20"/>
              </w:rPr>
            </w:pPr>
          </w:p>
        </w:tc>
        <w:tc>
          <w:tcPr>
            <w:tcW w:w="1216" w:type="dxa"/>
            <w:shd w:val="clear" w:color="auto" w:fill="auto"/>
            <w:noWrap/>
            <w:vAlign w:val="bottom"/>
            <w:hideMark/>
          </w:tcPr>
          <w:p w14:paraId="725D40E3" w14:textId="77777777" w:rsidR="00425C74" w:rsidRPr="000E117C" w:rsidRDefault="00425C74" w:rsidP="00425C74">
            <w:pPr>
              <w:rPr>
                <w:sz w:val="20"/>
                <w:szCs w:val="20"/>
              </w:rPr>
            </w:pPr>
          </w:p>
        </w:tc>
        <w:tc>
          <w:tcPr>
            <w:tcW w:w="1303" w:type="dxa"/>
            <w:shd w:val="clear" w:color="auto" w:fill="auto"/>
            <w:noWrap/>
            <w:vAlign w:val="bottom"/>
            <w:hideMark/>
          </w:tcPr>
          <w:p w14:paraId="7E8F4A0F" w14:textId="77777777" w:rsidR="00425C74" w:rsidRPr="000E117C" w:rsidRDefault="00425C74" w:rsidP="00425C74">
            <w:pPr>
              <w:rPr>
                <w:sz w:val="20"/>
                <w:szCs w:val="20"/>
              </w:rPr>
            </w:pPr>
          </w:p>
        </w:tc>
        <w:tc>
          <w:tcPr>
            <w:tcW w:w="1473" w:type="dxa"/>
            <w:shd w:val="clear" w:color="auto" w:fill="auto"/>
            <w:noWrap/>
            <w:vAlign w:val="bottom"/>
            <w:hideMark/>
          </w:tcPr>
          <w:p w14:paraId="5A191C8E" w14:textId="77777777" w:rsidR="00425C74" w:rsidRPr="000E117C" w:rsidRDefault="00425C74" w:rsidP="00425C74">
            <w:pPr>
              <w:rPr>
                <w:sz w:val="20"/>
                <w:szCs w:val="20"/>
              </w:rPr>
            </w:pPr>
          </w:p>
        </w:tc>
      </w:tr>
      <w:tr w:rsidR="00425C74" w:rsidRPr="000E117C" w14:paraId="0AAF7920" w14:textId="77777777" w:rsidTr="00C21FEC">
        <w:trPr>
          <w:trHeight w:val="255"/>
        </w:trPr>
        <w:tc>
          <w:tcPr>
            <w:tcW w:w="2759" w:type="dxa"/>
            <w:shd w:val="clear" w:color="auto" w:fill="auto"/>
            <w:noWrap/>
            <w:vAlign w:val="bottom"/>
            <w:hideMark/>
          </w:tcPr>
          <w:p w14:paraId="3550034D"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Aneurin Bevan UHB</w:t>
            </w:r>
          </w:p>
        </w:tc>
        <w:tc>
          <w:tcPr>
            <w:tcW w:w="1216" w:type="dxa"/>
            <w:shd w:val="clear" w:color="auto" w:fill="auto"/>
            <w:noWrap/>
            <w:vAlign w:val="bottom"/>
            <w:hideMark/>
          </w:tcPr>
          <w:p w14:paraId="599B77F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12.5%</w:t>
            </w:r>
          </w:p>
        </w:tc>
        <w:tc>
          <w:tcPr>
            <w:tcW w:w="1216" w:type="dxa"/>
            <w:shd w:val="clear" w:color="auto" w:fill="auto"/>
            <w:noWrap/>
            <w:vAlign w:val="bottom"/>
            <w:hideMark/>
          </w:tcPr>
          <w:p w14:paraId="3C56142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10.9%</w:t>
            </w:r>
          </w:p>
        </w:tc>
        <w:tc>
          <w:tcPr>
            <w:tcW w:w="1216" w:type="dxa"/>
            <w:shd w:val="clear" w:color="auto" w:fill="auto"/>
            <w:noWrap/>
            <w:vAlign w:val="bottom"/>
            <w:hideMark/>
          </w:tcPr>
          <w:p w14:paraId="4D4FD25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76.6%</w:t>
            </w:r>
          </w:p>
        </w:tc>
        <w:tc>
          <w:tcPr>
            <w:tcW w:w="1303" w:type="dxa"/>
            <w:shd w:val="clear" w:color="auto" w:fill="auto"/>
            <w:noWrap/>
            <w:vAlign w:val="bottom"/>
            <w:hideMark/>
          </w:tcPr>
          <w:p w14:paraId="0A4539F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100.0%</w:t>
            </w:r>
          </w:p>
        </w:tc>
        <w:tc>
          <w:tcPr>
            <w:tcW w:w="1473" w:type="dxa"/>
            <w:shd w:val="clear" w:color="auto" w:fill="auto"/>
            <w:noWrap/>
            <w:vAlign w:val="bottom"/>
            <w:hideMark/>
          </w:tcPr>
          <w:p w14:paraId="1CCD4A7E"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576,754</w:t>
            </w:r>
          </w:p>
        </w:tc>
      </w:tr>
      <w:tr w:rsidR="00425C74" w:rsidRPr="000E117C" w14:paraId="14A998E3" w14:textId="77777777" w:rsidTr="00C21FEC">
        <w:trPr>
          <w:trHeight w:val="255"/>
        </w:trPr>
        <w:tc>
          <w:tcPr>
            <w:tcW w:w="2759" w:type="dxa"/>
            <w:shd w:val="clear" w:color="auto" w:fill="auto"/>
            <w:noWrap/>
            <w:vAlign w:val="bottom"/>
            <w:hideMark/>
          </w:tcPr>
          <w:p w14:paraId="08C680B1"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Caerphilly</w:t>
            </w:r>
          </w:p>
        </w:tc>
        <w:tc>
          <w:tcPr>
            <w:tcW w:w="1216" w:type="dxa"/>
            <w:shd w:val="clear" w:color="auto" w:fill="auto"/>
            <w:noWrap/>
            <w:vAlign w:val="bottom"/>
            <w:hideMark/>
          </w:tcPr>
          <w:p w14:paraId="4243C564"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14.0%</w:t>
            </w:r>
          </w:p>
        </w:tc>
        <w:tc>
          <w:tcPr>
            <w:tcW w:w="1216" w:type="dxa"/>
            <w:shd w:val="clear" w:color="auto" w:fill="auto"/>
            <w:noWrap/>
            <w:vAlign w:val="bottom"/>
            <w:hideMark/>
          </w:tcPr>
          <w:p w14:paraId="3CF864EB"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11.4%</w:t>
            </w:r>
          </w:p>
        </w:tc>
        <w:tc>
          <w:tcPr>
            <w:tcW w:w="1216" w:type="dxa"/>
            <w:shd w:val="clear" w:color="auto" w:fill="auto"/>
            <w:noWrap/>
            <w:vAlign w:val="bottom"/>
            <w:hideMark/>
          </w:tcPr>
          <w:p w14:paraId="2044722D"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74.6%</w:t>
            </w:r>
          </w:p>
        </w:tc>
        <w:tc>
          <w:tcPr>
            <w:tcW w:w="1303" w:type="dxa"/>
            <w:shd w:val="clear" w:color="auto" w:fill="auto"/>
            <w:noWrap/>
            <w:vAlign w:val="bottom"/>
            <w:hideMark/>
          </w:tcPr>
          <w:p w14:paraId="7CDCE3EA"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4120715B"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178</w:t>
            </w:r>
            <w:r w:rsidR="00566665">
              <w:rPr>
                <w:rFonts w:ascii="Verdana" w:hAnsi="Verdana"/>
                <w:i/>
                <w:color w:val="000000"/>
                <w:sz w:val="20"/>
                <w:szCs w:val="20"/>
              </w:rPr>
              <w:t>,</w:t>
            </w:r>
            <w:r w:rsidRPr="000E117C">
              <w:rPr>
                <w:rFonts w:ascii="Verdana" w:hAnsi="Verdana"/>
                <w:i/>
                <w:color w:val="000000"/>
                <w:sz w:val="20"/>
                <w:szCs w:val="20"/>
              </w:rPr>
              <w:t>806</w:t>
            </w:r>
          </w:p>
        </w:tc>
      </w:tr>
      <w:tr w:rsidR="00425C74" w:rsidRPr="000E117C" w14:paraId="4AA58FE5" w14:textId="77777777" w:rsidTr="00C21FEC">
        <w:trPr>
          <w:trHeight w:val="255"/>
        </w:trPr>
        <w:tc>
          <w:tcPr>
            <w:tcW w:w="2759" w:type="dxa"/>
            <w:shd w:val="clear" w:color="auto" w:fill="auto"/>
            <w:noWrap/>
            <w:vAlign w:val="bottom"/>
            <w:hideMark/>
          </w:tcPr>
          <w:p w14:paraId="495AF45C"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Blaenau Gwent</w:t>
            </w:r>
          </w:p>
        </w:tc>
        <w:tc>
          <w:tcPr>
            <w:tcW w:w="1216" w:type="dxa"/>
            <w:shd w:val="clear" w:color="auto" w:fill="auto"/>
            <w:noWrap/>
            <w:vAlign w:val="bottom"/>
            <w:hideMark/>
          </w:tcPr>
          <w:p w14:paraId="415D5A98"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15.7%</w:t>
            </w:r>
          </w:p>
        </w:tc>
        <w:tc>
          <w:tcPr>
            <w:tcW w:w="1216" w:type="dxa"/>
            <w:shd w:val="clear" w:color="auto" w:fill="auto"/>
            <w:noWrap/>
            <w:vAlign w:val="bottom"/>
            <w:hideMark/>
          </w:tcPr>
          <w:p w14:paraId="356945A6"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11.5%</w:t>
            </w:r>
          </w:p>
        </w:tc>
        <w:tc>
          <w:tcPr>
            <w:tcW w:w="1216" w:type="dxa"/>
            <w:shd w:val="clear" w:color="auto" w:fill="auto"/>
            <w:noWrap/>
            <w:vAlign w:val="bottom"/>
            <w:hideMark/>
          </w:tcPr>
          <w:p w14:paraId="22A1AF46"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72.8%</w:t>
            </w:r>
          </w:p>
        </w:tc>
        <w:tc>
          <w:tcPr>
            <w:tcW w:w="1303" w:type="dxa"/>
            <w:shd w:val="clear" w:color="auto" w:fill="auto"/>
            <w:noWrap/>
            <w:vAlign w:val="bottom"/>
            <w:hideMark/>
          </w:tcPr>
          <w:p w14:paraId="2FCDCC39"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05207E9A"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69</w:t>
            </w:r>
            <w:r w:rsidR="00566665">
              <w:rPr>
                <w:rFonts w:ascii="Verdana" w:hAnsi="Verdana"/>
                <w:i/>
                <w:color w:val="000000"/>
                <w:sz w:val="20"/>
                <w:szCs w:val="20"/>
              </w:rPr>
              <w:t>,</w:t>
            </w:r>
            <w:r w:rsidRPr="000E117C">
              <w:rPr>
                <w:rFonts w:ascii="Verdana" w:hAnsi="Verdana"/>
                <w:i/>
                <w:color w:val="000000"/>
                <w:sz w:val="20"/>
                <w:szCs w:val="20"/>
              </w:rPr>
              <w:t>814</w:t>
            </w:r>
          </w:p>
        </w:tc>
      </w:tr>
      <w:tr w:rsidR="00425C74" w:rsidRPr="000E117C" w14:paraId="7D9F623C" w14:textId="77777777" w:rsidTr="00C21FEC">
        <w:trPr>
          <w:trHeight w:val="255"/>
        </w:trPr>
        <w:tc>
          <w:tcPr>
            <w:tcW w:w="2759" w:type="dxa"/>
            <w:shd w:val="clear" w:color="auto" w:fill="auto"/>
            <w:noWrap/>
            <w:vAlign w:val="bottom"/>
            <w:hideMark/>
          </w:tcPr>
          <w:p w14:paraId="4C8E15A3"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Torfaen</w:t>
            </w:r>
          </w:p>
        </w:tc>
        <w:tc>
          <w:tcPr>
            <w:tcW w:w="1216" w:type="dxa"/>
            <w:shd w:val="clear" w:color="auto" w:fill="auto"/>
            <w:noWrap/>
            <w:vAlign w:val="bottom"/>
            <w:hideMark/>
          </w:tcPr>
          <w:p w14:paraId="01E0F911"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13.1%</w:t>
            </w:r>
          </w:p>
        </w:tc>
        <w:tc>
          <w:tcPr>
            <w:tcW w:w="1216" w:type="dxa"/>
            <w:shd w:val="clear" w:color="auto" w:fill="auto"/>
            <w:noWrap/>
            <w:vAlign w:val="bottom"/>
            <w:hideMark/>
          </w:tcPr>
          <w:p w14:paraId="2EBFB567"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11.0%</w:t>
            </w:r>
          </w:p>
        </w:tc>
        <w:tc>
          <w:tcPr>
            <w:tcW w:w="1216" w:type="dxa"/>
            <w:shd w:val="clear" w:color="auto" w:fill="auto"/>
            <w:noWrap/>
            <w:vAlign w:val="bottom"/>
            <w:hideMark/>
          </w:tcPr>
          <w:p w14:paraId="0B9EFB0D"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75.9%</w:t>
            </w:r>
          </w:p>
        </w:tc>
        <w:tc>
          <w:tcPr>
            <w:tcW w:w="1303" w:type="dxa"/>
            <w:shd w:val="clear" w:color="auto" w:fill="auto"/>
            <w:noWrap/>
            <w:vAlign w:val="bottom"/>
            <w:hideMark/>
          </w:tcPr>
          <w:p w14:paraId="6D11E8E7"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6320D52F"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91</w:t>
            </w:r>
            <w:r w:rsidR="00566665">
              <w:rPr>
                <w:rFonts w:ascii="Verdana" w:hAnsi="Verdana"/>
                <w:i/>
                <w:color w:val="000000"/>
                <w:sz w:val="20"/>
                <w:szCs w:val="20"/>
              </w:rPr>
              <w:t>,</w:t>
            </w:r>
            <w:r w:rsidRPr="000E117C">
              <w:rPr>
                <w:rFonts w:ascii="Verdana" w:hAnsi="Verdana"/>
                <w:i/>
                <w:color w:val="000000"/>
                <w:sz w:val="20"/>
                <w:szCs w:val="20"/>
              </w:rPr>
              <w:t>075</w:t>
            </w:r>
          </w:p>
        </w:tc>
      </w:tr>
      <w:tr w:rsidR="00425C74" w:rsidRPr="000E117C" w14:paraId="12B9749D" w14:textId="77777777" w:rsidTr="00C21FEC">
        <w:trPr>
          <w:trHeight w:val="255"/>
        </w:trPr>
        <w:tc>
          <w:tcPr>
            <w:tcW w:w="2759" w:type="dxa"/>
            <w:shd w:val="clear" w:color="auto" w:fill="auto"/>
            <w:noWrap/>
            <w:vAlign w:val="bottom"/>
            <w:hideMark/>
          </w:tcPr>
          <w:p w14:paraId="668882CB"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Monmouthshire</w:t>
            </w:r>
          </w:p>
        </w:tc>
        <w:tc>
          <w:tcPr>
            <w:tcW w:w="1216" w:type="dxa"/>
            <w:shd w:val="clear" w:color="auto" w:fill="auto"/>
            <w:noWrap/>
            <w:vAlign w:val="bottom"/>
            <w:hideMark/>
          </w:tcPr>
          <w:p w14:paraId="1E0E8E46"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9.7%</w:t>
            </w:r>
          </w:p>
        </w:tc>
        <w:tc>
          <w:tcPr>
            <w:tcW w:w="1216" w:type="dxa"/>
            <w:shd w:val="clear" w:color="auto" w:fill="auto"/>
            <w:noWrap/>
            <w:vAlign w:val="bottom"/>
            <w:hideMark/>
          </w:tcPr>
          <w:p w14:paraId="2F74D5D1"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10.5%</w:t>
            </w:r>
          </w:p>
        </w:tc>
        <w:tc>
          <w:tcPr>
            <w:tcW w:w="1216" w:type="dxa"/>
            <w:shd w:val="clear" w:color="auto" w:fill="auto"/>
            <w:noWrap/>
            <w:vAlign w:val="bottom"/>
            <w:hideMark/>
          </w:tcPr>
          <w:p w14:paraId="303B8A38"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79.9%</w:t>
            </w:r>
          </w:p>
        </w:tc>
        <w:tc>
          <w:tcPr>
            <w:tcW w:w="1303" w:type="dxa"/>
            <w:shd w:val="clear" w:color="auto" w:fill="auto"/>
            <w:noWrap/>
            <w:vAlign w:val="bottom"/>
            <w:hideMark/>
          </w:tcPr>
          <w:p w14:paraId="77325145"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6064B67B"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91</w:t>
            </w:r>
            <w:r w:rsidR="00566665">
              <w:rPr>
                <w:rFonts w:ascii="Verdana" w:hAnsi="Verdana"/>
                <w:i/>
                <w:color w:val="000000"/>
                <w:sz w:val="20"/>
                <w:szCs w:val="20"/>
              </w:rPr>
              <w:t>,</w:t>
            </w:r>
            <w:r w:rsidRPr="000E117C">
              <w:rPr>
                <w:rFonts w:ascii="Verdana" w:hAnsi="Verdana"/>
                <w:i/>
                <w:color w:val="000000"/>
                <w:sz w:val="20"/>
                <w:szCs w:val="20"/>
              </w:rPr>
              <w:t>323</w:t>
            </w:r>
          </w:p>
        </w:tc>
      </w:tr>
      <w:tr w:rsidR="00425C74" w:rsidRPr="000E117C" w14:paraId="375DC1BF" w14:textId="77777777" w:rsidTr="00C21FEC">
        <w:trPr>
          <w:trHeight w:val="255"/>
        </w:trPr>
        <w:tc>
          <w:tcPr>
            <w:tcW w:w="2759" w:type="dxa"/>
            <w:shd w:val="clear" w:color="auto" w:fill="auto"/>
            <w:noWrap/>
            <w:vAlign w:val="bottom"/>
            <w:hideMark/>
          </w:tcPr>
          <w:p w14:paraId="6FBB5C09"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Newport</w:t>
            </w:r>
          </w:p>
        </w:tc>
        <w:tc>
          <w:tcPr>
            <w:tcW w:w="1216" w:type="dxa"/>
            <w:shd w:val="clear" w:color="auto" w:fill="auto"/>
            <w:noWrap/>
            <w:vAlign w:val="bottom"/>
            <w:hideMark/>
          </w:tcPr>
          <w:p w14:paraId="01C6BD89"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10.6%</w:t>
            </w:r>
          </w:p>
        </w:tc>
        <w:tc>
          <w:tcPr>
            <w:tcW w:w="1216" w:type="dxa"/>
            <w:shd w:val="clear" w:color="auto" w:fill="auto"/>
            <w:noWrap/>
            <w:vAlign w:val="bottom"/>
            <w:hideMark/>
          </w:tcPr>
          <w:p w14:paraId="4061D26A"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10.2%</w:t>
            </w:r>
          </w:p>
        </w:tc>
        <w:tc>
          <w:tcPr>
            <w:tcW w:w="1216" w:type="dxa"/>
            <w:shd w:val="clear" w:color="auto" w:fill="auto"/>
            <w:noWrap/>
            <w:vAlign w:val="bottom"/>
            <w:hideMark/>
          </w:tcPr>
          <w:p w14:paraId="03D1F558"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79.2%</w:t>
            </w:r>
          </w:p>
        </w:tc>
        <w:tc>
          <w:tcPr>
            <w:tcW w:w="1303" w:type="dxa"/>
            <w:shd w:val="clear" w:color="auto" w:fill="auto"/>
            <w:noWrap/>
            <w:vAlign w:val="bottom"/>
            <w:hideMark/>
          </w:tcPr>
          <w:p w14:paraId="28BDEA5E"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18D4D0DF"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145</w:t>
            </w:r>
            <w:r w:rsidR="00566665">
              <w:rPr>
                <w:rFonts w:ascii="Verdana" w:hAnsi="Verdana"/>
                <w:i/>
                <w:color w:val="000000"/>
                <w:sz w:val="20"/>
                <w:szCs w:val="20"/>
              </w:rPr>
              <w:t>,</w:t>
            </w:r>
            <w:r w:rsidRPr="000E117C">
              <w:rPr>
                <w:rFonts w:ascii="Verdana" w:hAnsi="Verdana"/>
                <w:i/>
                <w:color w:val="000000"/>
                <w:sz w:val="20"/>
                <w:szCs w:val="20"/>
              </w:rPr>
              <w:t>736</w:t>
            </w:r>
          </w:p>
        </w:tc>
      </w:tr>
      <w:tr w:rsidR="00425C74" w:rsidRPr="000E117C" w14:paraId="6BB789D7" w14:textId="77777777" w:rsidTr="00C21FEC">
        <w:trPr>
          <w:trHeight w:val="255"/>
        </w:trPr>
        <w:tc>
          <w:tcPr>
            <w:tcW w:w="2759" w:type="dxa"/>
            <w:shd w:val="clear" w:color="auto" w:fill="auto"/>
            <w:noWrap/>
            <w:vAlign w:val="bottom"/>
            <w:hideMark/>
          </w:tcPr>
          <w:p w14:paraId="22DE81D9"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Cardiff and Vale UHB</w:t>
            </w:r>
          </w:p>
        </w:tc>
        <w:tc>
          <w:tcPr>
            <w:tcW w:w="1216" w:type="dxa"/>
            <w:shd w:val="clear" w:color="auto" w:fill="auto"/>
            <w:noWrap/>
            <w:vAlign w:val="bottom"/>
            <w:hideMark/>
          </w:tcPr>
          <w:p w14:paraId="4D2823EB"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9.4%</w:t>
            </w:r>
          </w:p>
        </w:tc>
        <w:tc>
          <w:tcPr>
            <w:tcW w:w="1216" w:type="dxa"/>
            <w:shd w:val="clear" w:color="auto" w:fill="auto"/>
            <w:noWrap/>
            <w:vAlign w:val="bottom"/>
            <w:hideMark/>
          </w:tcPr>
          <w:p w14:paraId="17F6D02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9.2%</w:t>
            </w:r>
          </w:p>
        </w:tc>
        <w:tc>
          <w:tcPr>
            <w:tcW w:w="1216" w:type="dxa"/>
            <w:shd w:val="clear" w:color="auto" w:fill="auto"/>
            <w:noWrap/>
            <w:vAlign w:val="bottom"/>
            <w:hideMark/>
          </w:tcPr>
          <w:p w14:paraId="729C439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81.4%</w:t>
            </w:r>
          </w:p>
        </w:tc>
        <w:tc>
          <w:tcPr>
            <w:tcW w:w="1303" w:type="dxa"/>
            <w:shd w:val="clear" w:color="auto" w:fill="auto"/>
            <w:noWrap/>
            <w:vAlign w:val="bottom"/>
            <w:hideMark/>
          </w:tcPr>
          <w:p w14:paraId="6FD975AE"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100.0%</w:t>
            </w:r>
          </w:p>
        </w:tc>
        <w:tc>
          <w:tcPr>
            <w:tcW w:w="1473" w:type="dxa"/>
            <w:shd w:val="clear" w:color="auto" w:fill="auto"/>
            <w:noWrap/>
            <w:vAlign w:val="bottom"/>
            <w:hideMark/>
          </w:tcPr>
          <w:p w14:paraId="04848A3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472,426</w:t>
            </w:r>
          </w:p>
        </w:tc>
      </w:tr>
      <w:tr w:rsidR="00425C74" w:rsidRPr="000E117C" w14:paraId="05EED0E5" w14:textId="77777777" w:rsidTr="00C21FEC">
        <w:trPr>
          <w:trHeight w:val="255"/>
        </w:trPr>
        <w:tc>
          <w:tcPr>
            <w:tcW w:w="2759" w:type="dxa"/>
            <w:shd w:val="clear" w:color="auto" w:fill="auto"/>
            <w:noWrap/>
            <w:vAlign w:val="bottom"/>
            <w:hideMark/>
          </w:tcPr>
          <w:p w14:paraId="7B2FF4D6"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Vale of Glamorgan</w:t>
            </w:r>
          </w:p>
        </w:tc>
        <w:tc>
          <w:tcPr>
            <w:tcW w:w="1216" w:type="dxa"/>
            <w:shd w:val="clear" w:color="auto" w:fill="auto"/>
            <w:noWrap/>
            <w:vAlign w:val="bottom"/>
            <w:hideMark/>
          </w:tcPr>
          <w:p w14:paraId="79D0C022"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9.9%</w:t>
            </w:r>
          </w:p>
        </w:tc>
        <w:tc>
          <w:tcPr>
            <w:tcW w:w="1216" w:type="dxa"/>
            <w:shd w:val="clear" w:color="auto" w:fill="auto"/>
            <w:noWrap/>
            <w:vAlign w:val="bottom"/>
            <w:hideMark/>
          </w:tcPr>
          <w:p w14:paraId="5867C512"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10.4%</w:t>
            </w:r>
          </w:p>
        </w:tc>
        <w:tc>
          <w:tcPr>
            <w:tcW w:w="1216" w:type="dxa"/>
            <w:shd w:val="clear" w:color="auto" w:fill="auto"/>
            <w:noWrap/>
            <w:vAlign w:val="bottom"/>
            <w:hideMark/>
          </w:tcPr>
          <w:p w14:paraId="200032F6"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79.7%</w:t>
            </w:r>
          </w:p>
        </w:tc>
        <w:tc>
          <w:tcPr>
            <w:tcW w:w="1303" w:type="dxa"/>
            <w:shd w:val="clear" w:color="auto" w:fill="auto"/>
            <w:noWrap/>
            <w:vAlign w:val="bottom"/>
            <w:hideMark/>
          </w:tcPr>
          <w:p w14:paraId="42AFBEAA"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6B325B8B"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126,336</w:t>
            </w:r>
          </w:p>
        </w:tc>
      </w:tr>
      <w:tr w:rsidR="00425C74" w:rsidRPr="000E117C" w14:paraId="7AEE8C63" w14:textId="77777777" w:rsidTr="00C21FEC">
        <w:trPr>
          <w:trHeight w:val="255"/>
        </w:trPr>
        <w:tc>
          <w:tcPr>
            <w:tcW w:w="2759" w:type="dxa"/>
            <w:shd w:val="clear" w:color="auto" w:fill="auto"/>
            <w:noWrap/>
            <w:vAlign w:val="bottom"/>
            <w:hideMark/>
          </w:tcPr>
          <w:p w14:paraId="35D09C29"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Cardiff</w:t>
            </w:r>
          </w:p>
        </w:tc>
        <w:tc>
          <w:tcPr>
            <w:tcW w:w="1216" w:type="dxa"/>
            <w:shd w:val="clear" w:color="auto" w:fill="auto"/>
            <w:noWrap/>
            <w:vAlign w:val="bottom"/>
            <w:hideMark/>
          </w:tcPr>
          <w:p w14:paraId="1F03A8DD"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9.2%</w:t>
            </w:r>
          </w:p>
        </w:tc>
        <w:tc>
          <w:tcPr>
            <w:tcW w:w="1216" w:type="dxa"/>
            <w:shd w:val="clear" w:color="auto" w:fill="auto"/>
            <w:noWrap/>
            <w:vAlign w:val="bottom"/>
            <w:hideMark/>
          </w:tcPr>
          <w:p w14:paraId="6A71E333"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8.8%</w:t>
            </w:r>
          </w:p>
        </w:tc>
        <w:tc>
          <w:tcPr>
            <w:tcW w:w="1216" w:type="dxa"/>
            <w:shd w:val="clear" w:color="auto" w:fill="auto"/>
            <w:noWrap/>
            <w:vAlign w:val="bottom"/>
            <w:hideMark/>
          </w:tcPr>
          <w:p w14:paraId="2E260F38"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82.0%</w:t>
            </w:r>
          </w:p>
        </w:tc>
        <w:tc>
          <w:tcPr>
            <w:tcW w:w="1303" w:type="dxa"/>
            <w:shd w:val="clear" w:color="auto" w:fill="auto"/>
            <w:noWrap/>
            <w:vAlign w:val="bottom"/>
            <w:hideMark/>
          </w:tcPr>
          <w:p w14:paraId="05229C35"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1BCF4DF6"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346,090</w:t>
            </w:r>
          </w:p>
        </w:tc>
      </w:tr>
      <w:tr w:rsidR="00425C74" w:rsidRPr="000E117C" w14:paraId="08201B97" w14:textId="77777777" w:rsidTr="00C21FEC">
        <w:trPr>
          <w:trHeight w:val="255"/>
        </w:trPr>
        <w:tc>
          <w:tcPr>
            <w:tcW w:w="2759" w:type="dxa"/>
            <w:shd w:val="clear" w:color="auto" w:fill="auto"/>
            <w:noWrap/>
            <w:vAlign w:val="bottom"/>
            <w:hideMark/>
          </w:tcPr>
          <w:p w14:paraId="2C8CB0BF"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Cwm Taf UHB</w:t>
            </w:r>
          </w:p>
        </w:tc>
        <w:tc>
          <w:tcPr>
            <w:tcW w:w="1216" w:type="dxa"/>
            <w:shd w:val="clear" w:color="auto" w:fill="auto"/>
            <w:noWrap/>
            <w:vAlign w:val="bottom"/>
            <w:hideMark/>
          </w:tcPr>
          <w:p w14:paraId="2C654FC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14.7%</w:t>
            </w:r>
          </w:p>
        </w:tc>
        <w:tc>
          <w:tcPr>
            <w:tcW w:w="1216" w:type="dxa"/>
            <w:shd w:val="clear" w:color="auto" w:fill="auto"/>
            <w:noWrap/>
            <w:vAlign w:val="bottom"/>
            <w:hideMark/>
          </w:tcPr>
          <w:p w14:paraId="45B153B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11.3%</w:t>
            </w:r>
          </w:p>
        </w:tc>
        <w:tc>
          <w:tcPr>
            <w:tcW w:w="1216" w:type="dxa"/>
            <w:shd w:val="clear" w:color="auto" w:fill="auto"/>
            <w:noWrap/>
            <w:vAlign w:val="bottom"/>
            <w:hideMark/>
          </w:tcPr>
          <w:p w14:paraId="3EE55A9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73.9%</w:t>
            </w:r>
          </w:p>
        </w:tc>
        <w:tc>
          <w:tcPr>
            <w:tcW w:w="1303" w:type="dxa"/>
            <w:shd w:val="clear" w:color="auto" w:fill="auto"/>
            <w:noWrap/>
            <w:vAlign w:val="bottom"/>
            <w:hideMark/>
          </w:tcPr>
          <w:p w14:paraId="7FD114C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100.0%</w:t>
            </w:r>
          </w:p>
        </w:tc>
        <w:tc>
          <w:tcPr>
            <w:tcW w:w="1473" w:type="dxa"/>
            <w:shd w:val="clear" w:color="auto" w:fill="auto"/>
            <w:noWrap/>
            <w:vAlign w:val="bottom"/>
            <w:hideMark/>
          </w:tcPr>
          <w:p w14:paraId="1317839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293,212</w:t>
            </w:r>
          </w:p>
        </w:tc>
      </w:tr>
      <w:tr w:rsidR="00425C74" w:rsidRPr="000E117C" w14:paraId="791CB8EE" w14:textId="77777777" w:rsidTr="00C21FEC">
        <w:trPr>
          <w:trHeight w:val="255"/>
        </w:trPr>
        <w:tc>
          <w:tcPr>
            <w:tcW w:w="2759" w:type="dxa"/>
            <w:shd w:val="clear" w:color="auto" w:fill="auto"/>
            <w:noWrap/>
            <w:vAlign w:val="bottom"/>
            <w:hideMark/>
          </w:tcPr>
          <w:p w14:paraId="52CF1A44"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Rhondda Cynon Taf</w:t>
            </w:r>
          </w:p>
        </w:tc>
        <w:tc>
          <w:tcPr>
            <w:tcW w:w="1216" w:type="dxa"/>
            <w:shd w:val="clear" w:color="auto" w:fill="auto"/>
            <w:noWrap/>
            <w:vAlign w:val="bottom"/>
            <w:hideMark/>
          </w:tcPr>
          <w:p w14:paraId="6E2F7532"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14.5%</w:t>
            </w:r>
          </w:p>
        </w:tc>
        <w:tc>
          <w:tcPr>
            <w:tcW w:w="1216" w:type="dxa"/>
            <w:shd w:val="clear" w:color="auto" w:fill="auto"/>
            <w:noWrap/>
            <w:vAlign w:val="bottom"/>
            <w:hideMark/>
          </w:tcPr>
          <w:p w14:paraId="2DAFFED8"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11.4%</w:t>
            </w:r>
          </w:p>
        </w:tc>
        <w:tc>
          <w:tcPr>
            <w:tcW w:w="1216" w:type="dxa"/>
            <w:shd w:val="clear" w:color="auto" w:fill="auto"/>
            <w:noWrap/>
            <w:vAlign w:val="bottom"/>
            <w:hideMark/>
          </w:tcPr>
          <w:p w14:paraId="53D06BBA"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74.2%</w:t>
            </w:r>
          </w:p>
        </w:tc>
        <w:tc>
          <w:tcPr>
            <w:tcW w:w="1303" w:type="dxa"/>
            <w:shd w:val="clear" w:color="auto" w:fill="auto"/>
            <w:noWrap/>
            <w:vAlign w:val="bottom"/>
            <w:hideMark/>
          </w:tcPr>
          <w:p w14:paraId="7DC18E71"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05827705"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234,410</w:t>
            </w:r>
          </w:p>
        </w:tc>
      </w:tr>
      <w:tr w:rsidR="00425C74" w:rsidRPr="000E117C" w14:paraId="6E4589A3" w14:textId="77777777" w:rsidTr="00C21FEC">
        <w:trPr>
          <w:trHeight w:val="255"/>
        </w:trPr>
        <w:tc>
          <w:tcPr>
            <w:tcW w:w="2759" w:type="dxa"/>
            <w:shd w:val="clear" w:color="auto" w:fill="auto"/>
            <w:noWrap/>
            <w:vAlign w:val="bottom"/>
            <w:hideMark/>
          </w:tcPr>
          <w:p w14:paraId="5DEF728D"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rPr>
              <w:t>Merthyr Tydfil</w:t>
            </w:r>
          </w:p>
        </w:tc>
        <w:tc>
          <w:tcPr>
            <w:tcW w:w="1216" w:type="dxa"/>
            <w:shd w:val="clear" w:color="auto" w:fill="auto"/>
            <w:noWrap/>
            <w:vAlign w:val="bottom"/>
            <w:hideMark/>
          </w:tcPr>
          <w:p w14:paraId="460A813C"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15.8%</w:t>
            </w:r>
          </w:p>
        </w:tc>
        <w:tc>
          <w:tcPr>
            <w:tcW w:w="1216" w:type="dxa"/>
            <w:shd w:val="clear" w:color="auto" w:fill="auto"/>
            <w:noWrap/>
            <w:vAlign w:val="bottom"/>
            <w:hideMark/>
          </w:tcPr>
          <w:p w14:paraId="1C0CB7DC"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11.1%</w:t>
            </w:r>
          </w:p>
        </w:tc>
        <w:tc>
          <w:tcPr>
            <w:tcW w:w="1216" w:type="dxa"/>
            <w:shd w:val="clear" w:color="auto" w:fill="auto"/>
            <w:noWrap/>
            <w:vAlign w:val="bottom"/>
            <w:hideMark/>
          </w:tcPr>
          <w:p w14:paraId="2EF63D54"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73.1%</w:t>
            </w:r>
          </w:p>
        </w:tc>
        <w:tc>
          <w:tcPr>
            <w:tcW w:w="1303" w:type="dxa"/>
            <w:shd w:val="clear" w:color="auto" w:fill="auto"/>
            <w:noWrap/>
            <w:vAlign w:val="bottom"/>
            <w:hideMark/>
          </w:tcPr>
          <w:p w14:paraId="379B8127"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100.0%</w:t>
            </w:r>
          </w:p>
        </w:tc>
        <w:tc>
          <w:tcPr>
            <w:tcW w:w="1473" w:type="dxa"/>
            <w:shd w:val="clear" w:color="auto" w:fill="auto"/>
            <w:noWrap/>
            <w:vAlign w:val="bottom"/>
            <w:hideMark/>
          </w:tcPr>
          <w:p w14:paraId="63B69380" w14:textId="77777777" w:rsidR="00425C74" w:rsidRPr="000E117C" w:rsidRDefault="00425C74" w:rsidP="00425C74">
            <w:pPr>
              <w:jc w:val="right"/>
              <w:rPr>
                <w:rFonts w:ascii="Verdana" w:hAnsi="Verdana"/>
                <w:i/>
                <w:color w:val="000000"/>
                <w:sz w:val="20"/>
                <w:szCs w:val="20"/>
              </w:rPr>
            </w:pPr>
            <w:r w:rsidRPr="000E117C">
              <w:rPr>
                <w:rFonts w:ascii="Verdana" w:hAnsi="Verdana"/>
                <w:i/>
                <w:color w:val="000000"/>
                <w:sz w:val="20"/>
                <w:szCs w:val="20"/>
              </w:rPr>
              <w:t>58,802</w:t>
            </w:r>
          </w:p>
        </w:tc>
      </w:tr>
      <w:tr w:rsidR="00425C74" w:rsidRPr="000E117C" w14:paraId="27035AFB" w14:textId="77777777" w:rsidTr="00C21FEC">
        <w:trPr>
          <w:trHeight w:val="255"/>
        </w:trPr>
        <w:tc>
          <w:tcPr>
            <w:tcW w:w="2759" w:type="dxa"/>
            <w:shd w:val="clear" w:color="auto" w:fill="auto"/>
            <w:noWrap/>
            <w:vAlign w:val="bottom"/>
            <w:hideMark/>
          </w:tcPr>
          <w:p w14:paraId="7CBE20E1"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Powys</w:t>
            </w:r>
          </w:p>
        </w:tc>
        <w:tc>
          <w:tcPr>
            <w:tcW w:w="1216" w:type="dxa"/>
            <w:shd w:val="clear" w:color="auto" w:fill="auto"/>
            <w:noWrap/>
            <w:vAlign w:val="bottom"/>
            <w:hideMark/>
          </w:tcPr>
          <w:p w14:paraId="250062E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10.2%</w:t>
            </w:r>
          </w:p>
        </w:tc>
        <w:tc>
          <w:tcPr>
            <w:tcW w:w="1216" w:type="dxa"/>
            <w:shd w:val="clear" w:color="auto" w:fill="auto"/>
            <w:noWrap/>
            <w:vAlign w:val="bottom"/>
            <w:hideMark/>
          </w:tcPr>
          <w:p w14:paraId="1ADE376B"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11.2%</w:t>
            </w:r>
          </w:p>
        </w:tc>
        <w:tc>
          <w:tcPr>
            <w:tcW w:w="1216" w:type="dxa"/>
            <w:shd w:val="clear" w:color="auto" w:fill="auto"/>
            <w:noWrap/>
            <w:vAlign w:val="bottom"/>
            <w:hideMark/>
          </w:tcPr>
          <w:p w14:paraId="5A00CA0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78.6%</w:t>
            </w:r>
          </w:p>
        </w:tc>
        <w:tc>
          <w:tcPr>
            <w:tcW w:w="1303" w:type="dxa"/>
            <w:shd w:val="clear" w:color="auto" w:fill="auto"/>
            <w:noWrap/>
            <w:vAlign w:val="bottom"/>
            <w:hideMark/>
          </w:tcPr>
          <w:p w14:paraId="6B5262C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100.0%</w:t>
            </w:r>
          </w:p>
        </w:tc>
        <w:tc>
          <w:tcPr>
            <w:tcW w:w="1473" w:type="dxa"/>
            <w:shd w:val="clear" w:color="auto" w:fill="auto"/>
            <w:noWrap/>
            <w:vAlign w:val="bottom"/>
            <w:hideMark/>
          </w:tcPr>
          <w:p w14:paraId="52A5358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132,976</w:t>
            </w:r>
          </w:p>
        </w:tc>
      </w:tr>
      <w:tr w:rsidR="00425C74" w:rsidRPr="000E117C" w14:paraId="162A2F8E" w14:textId="77777777" w:rsidTr="00C21FEC">
        <w:trPr>
          <w:trHeight w:val="255"/>
        </w:trPr>
        <w:tc>
          <w:tcPr>
            <w:tcW w:w="2759" w:type="dxa"/>
            <w:shd w:val="clear" w:color="auto" w:fill="auto"/>
            <w:noWrap/>
            <w:vAlign w:val="bottom"/>
            <w:hideMark/>
          </w:tcPr>
          <w:p w14:paraId="46C607FB" w14:textId="77777777" w:rsidR="00425C74" w:rsidRPr="000E117C" w:rsidRDefault="00663A71" w:rsidP="00425C74">
            <w:pPr>
              <w:rPr>
                <w:rFonts w:ascii="Verdana" w:hAnsi="Verdana"/>
                <w:b/>
                <w:color w:val="000000"/>
                <w:sz w:val="20"/>
                <w:szCs w:val="20"/>
              </w:rPr>
            </w:pPr>
            <w:r>
              <w:rPr>
                <w:rFonts w:ascii="Verdana" w:hAnsi="Verdana"/>
                <w:b/>
                <w:color w:val="000000"/>
                <w:sz w:val="20"/>
                <w:szCs w:val="20"/>
              </w:rPr>
              <w:t>Area affected</w:t>
            </w:r>
          </w:p>
        </w:tc>
        <w:tc>
          <w:tcPr>
            <w:tcW w:w="1216" w:type="dxa"/>
            <w:shd w:val="clear" w:color="auto" w:fill="auto"/>
            <w:noWrap/>
            <w:vAlign w:val="bottom"/>
            <w:hideMark/>
          </w:tcPr>
          <w:p w14:paraId="362CF5E3" w14:textId="77777777" w:rsidR="00425C74" w:rsidRPr="000E117C" w:rsidRDefault="00425C74" w:rsidP="00425C74">
            <w:pPr>
              <w:jc w:val="right"/>
              <w:rPr>
                <w:rFonts w:ascii="Verdana" w:hAnsi="Verdana"/>
                <w:b/>
                <w:color w:val="000000"/>
                <w:sz w:val="20"/>
                <w:szCs w:val="20"/>
              </w:rPr>
            </w:pPr>
            <w:r w:rsidRPr="000E117C">
              <w:rPr>
                <w:rFonts w:ascii="Verdana" w:hAnsi="Verdana"/>
                <w:b/>
                <w:color w:val="000000"/>
                <w:sz w:val="20"/>
                <w:szCs w:val="20"/>
              </w:rPr>
              <w:t>11.8%</w:t>
            </w:r>
          </w:p>
        </w:tc>
        <w:tc>
          <w:tcPr>
            <w:tcW w:w="1216" w:type="dxa"/>
            <w:shd w:val="clear" w:color="auto" w:fill="auto"/>
            <w:noWrap/>
            <w:vAlign w:val="bottom"/>
            <w:hideMark/>
          </w:tcPr>
          <w:p w14:paraId="75E1C6CD" w14:textId="77777777" w:rsidR="00425C74" w:rsidRPr="000E117C" w:rsidRDefault="00425C74" w:rsidP="00425C74">
            <w:pPr>
              <w:jc w:val="right"/>
              <w:rPr>
                <w:rFonts w:ascii="Verdana" w:hAnsi="Verdana"/>
                <w:b/>
                <w:color w:val="000000"/>
                <w:sz w:val="20"/>
                <w:szCs w:val="20"/>
              </w:rPr>
            </w:pPr>
            <w:r w:rsidRPr="000E117C">
              <w:rPr>
                <w:rFonts w:ascii="Verdana" w:hAnsi="Verdana"/>
                <w:b/>
                <w:color w:val="000000"/>
                <w:sz w:val="20"/>
                <w:szCs w:val="20"/>
              </w:rPr>
              <w:t>10.4%</w:t>
            </w:r>
          </w:p>
        </w:tc>
        <w:tc>
          <w:tcPr>
            <w:tcW w:w="1216" w:type="dxa"/>
            <w:shd w:val="clear" w:color="auto" w:fill="auto"/>
            <w:noWrap/>
            <w:vAlign w:val="bottom"/>
            <w:hideMark/>
          </w:tcPr>
          <w:p w14:paraId="71948F4B" w14:textId="77777777" w:rsidR="00425C74" w:rsidRPr="000E117C" w:rsidRDefault="00425C74" w:rsidP="00425C74">
            <w:pPr>
              <w:jc w:val="right"/>
              <w:rPr>
                <w:rFonts w:ascii="Verdana" w:hAnsi="Verdana"/>
                <w:b/>
                <w:color w:val="000000"/>
                <w:sz w:val="20"/>
                <w:szCs w:val="20"/>
              </w:rPr>
            </w:pPr>
            <w:r w:rsidRPr="000E117C">
              <w:rPr>
                <w:rFonts w:ascii="Verdana" w:hAnsi="Verdana"/>
                <w:b/>
                <w:color w:val="000000"/>
                <w:sz w:val="20"/>
                <w:szCs w:val="20"/>
              </w:rPr>
              <w:t>77.7%</w:t>
            </w:r>
          </w:p>
        </w:tc>
        <w:tc>
          <w:tcPr>
            <w:tcW w:w="1303" w:type="dxa"/>
            <w:shd w:val="clear" w:color="auto" w:fill="auto"/>
            <w:noWrap/>
            <w:vAlign w:val="bottom"/>
            <w:hideMark/>
          </w:tcPr>
          <w:p w14:paraId="6B4A34F1" w14:textId="77777777" w:rsidR="00425C74" w:rsidRPr="000E117C" w:rsidRDefault="00425C74" w:rsidP="00425C74">
            <w:pPr>
              <w:jc w:val="right"/>
              <w:rPr>
                <w:rFonts w:ascii="Verdana" w:hAnsi="Verdana"/>
                <w:b/>
                <w:color w:val="000000"/>
                <w:sz w:val="20"/>
                <w:szCs w:val="20"/>
              </w:rPr>
            </w:pPr>
            <w:r w:rsidRPr="000E117C">
              <w:rPr>
                <w:rFonts w:ascii="Verdana" w:hAnsi="Verdana"/>
                <w:b/>
                <w:color w:val="000000"/>
                <w:sz w:val="20"/>
                <w:szCs w:val="20"/>
              </w:rPr>
              <w:t>100.0%</w:t>
            </w:r>
          </w:p>
        </w:tc>
        <w:tc>
          <w:tcPr>
            <w:tcW w:w="1473" w:type="dxa"/>
            <w:shd w:val="clear" w:color="auto" w:fill="auto"/>
            <w:noWrap/>
            <w:vAlign w:val="bottom"/>
            <w:hideMark/>
          </w:tcPr>
          <w:p w14:paraId="18DDF5C4" w14:textId="77777777" w:rsidR="00425C74" w:rsidRPr="000E117C" w:rsidRDefault="00425C74" w:rsidP="00425C74">
            <w:pPr>
              <w:jc w:val="right"/>
              <w:rPr>
                <w:rFonts w:ascii="Verdana" w:hAnsi="Verdana"/>
                <w:b/>
                <w:color w:val="000000"/>
                <w:sz w:val="20"/>
                <w:szCs w:val="20"/>
              </w:rPr>
            </w:pPr>
            <w:r w:rsidRPr="000E117C">
              <w:rPr>
                <w:rFonts w:ascii="Verdana" w:hAnsi="Verdana"/>
                <w:b/>
                <w:color w:val="000000"/>
                <w:sz w:val="20"/>
                <w:szCs w:val="20"/>
              </w:rPr>
              <w:t>1,408,880</w:t>
            </w:r>
          </w:p>
        </w:tc>
      </w:tr>
      <w:tr w:rsidR="00425C74" w:rsidRPr="000E117C" w14:paraId="75DE9B97" w14:textId="77777777" w:rsidTr="00C21FEC">
        <w:trPr>
          <w:trHeight w:val="255"/>
        </w:trPr>
        <w:tc>
          <w:tcPr>
            <w:tcW w:w="2759" w:type="dxa"/>
            <w:shd w:val="clear" w:color="auto" w:fill="auto"/>
            <w:noWrap/>
            <w:vAlign w:val="bottom"/>
            <w:hideMark/>
          </w:tcPr>
          <w:p w14:paraId="6B6F1BC5"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Wales</w:t>
            </w:r>
          </w:p>
        </w:tc>
        <w:tc>
          <w:tcPr>
            <w:tcW w:w="1216" w:type="dxa"/>
            <w:shd w:val="clear" w:color="auto" w:fill="auto"/>
            <w:noWrap/>
            <w:vAlign w:val="bottom"/>
            <w:hideMark/>
          </w:tcPr>
          <w:p w14:paraId="208955D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11.9%</w:t>
            </w:r>
          </w:p>
        </w:tc>
        <w:tc>
          <w:tcPr>
            <w:tcW w:w="1216" w:type="dxa"/>
            <w:shd w:val="clear" w:color="auto" w:fill="auto"/>
            <w:noWrap/>
            <w:vAlign w:val="bottom"/>
            <w:hideMark/>
          </w:tcPr>
          <w:p w14:paraId="4FAE198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10.8%</w:t>
            </w:r>
          </w:p>
        </w:tc>
        <w:tc>
          <w:tcPr>
            <w:tcW w:w="1216" w:type="dxa"/>
            <w:shd w:val="clear" w:color="auto" w:fill="auto"/>
            <w:noWrap/>
            <w:vAlign w:val="bottom"/>
            <w:hideMark/>
          </w:tcPr>
          <w:p w14:paraId="651536E3"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77.3%</w:t>
            </w:r>
          </w:p>
        </w:tc>
        <w:tc>
          <w:tcPr>
            <w:tcW w:w="1303" w:type="dxa"/>
            <w:shd w:val="clear" w:color="auto" w:fill="auto"/>
            <w:noWrap/>
            <w:vAlign w:val="bottom"/>
            <w:hideMark/>
          </w:tcPr>
          <w:p w14:paraId="79E7982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100.0%</w:t>
            </w:r>
          </w:p>
        </w:tc>
        <w:tc>
          <w:tcPr>
            <w:tcW w:w="1473" w:type="dxa"/>
            <w:shd w:val="clear" w:color="auto" w:fill="auto"/>
            <w:noWrap/>
            <w:vAlign w:val="bottom"/>
            <w:hideMark/>
          </w:tcPr>
          <w:p w14:paraId="44C5DDE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3,063,456</w:t>
            </w:r>
          </w:p>
        </w:tc>
      </w:tr>
    </w:tbl>
    <w:p w14:paraId="7803E44A" w14:textId="77777777" w:rsidR="00425C74" w:rsidRPr="000E117C" w:rsidRDefault="00425C74" w:rsidP="00425C74">
      <w:pPr>
        <w:rPr>
          <w:rFonts w:ascii="Verdana" w:hAnsi="Verdana" w:cs="Arial"/>
        </w:rPr>
      </w:pPr>
    </w:p>
    <w:p w14:paraId="4859F593" w14:textId="77777777" w:rsidR="00425C74" w:rsidRPr="000E117C" w:rsidRDefault="00425C74" w:rsidP="00425C74">
      <w:pPr>
        <w:autoSpaceDE w:val="0"/>
        <w:autoSpaceDN w:val="0"/>
        <w:adjustRightInd w:val="0"/>
        <w:rPr>
          <w:rFonts w:ascii="Verdana" w:hAnsi="Verdana" w:cs="MyriadPro-Regular"/>
          <w:sz w:val="20"/>
        </w:rPr>
      </w:pPr>
    </w:p>
    <w:p w14:paraId="3E2EEAA2" w14:textId="77777777" w:rsidR="003477E6" w:rsidRDefault="003477E6" w:rsidP="003477E6">
      <w:pPr>
        <w:jc w:val="both"/>
        <w:rPr>
          <w:color w:val="000000"/>
          <w:sz w:val="27"/>
          <w:szCs w:val="27"/>
        </w:rPr>
      </w:pPr>
      <w:r w:rsidRPr="003477E6">
        <w:rPr>
          <w:rFonts w:ascii="Verdana" w:hAnsi="Verdana"/>
          <w:b/>
          <w:color w:val="000000"/>
        </w:rPr>
        <w:t>Sensory Loss</w:t>
      </w:r>
      <w:r>
        <w:rPr>
          <w:color w:val="000000"/>
          <w:sz w:val="27"/>
          <w:szCs w:val="27"/>
        </w:rPr>
        <w:t xml:space="preserve"> </w:t>
      </w:r>
    </w:p>
    <w:p w14:paraId="28EC27B6" w14:textId="77777777" w:rsidR="003477E6" w:rsidRDefault="003477E6" w:rsidP="003477E6">
      <w:pPr>
        <w:jc w:val="both"/>
        <w:rPr>
          <w:color w:val="000000"/>
          <w:sz w:val="27"/>
          <w:szCs w:val="27"/>
        </w:rPr>
      </w:pPr>
    </w:p>
    <w:p w14:paraId="06BC4950" w14:textId="77777777" w:rsidR="003477E6" w:rsidRDefault="003477E6" w:rsidP="003477E6">
      <w:pPr>
        <w:jc w:val="both"/>
        <w:rPr>
          <w:rFonts w:ascii="Verdana" w:hAnsi="Verdana"/>
          <w:color w:val="000000"/>
        </w:rPr>
      </w:pPr>
      <w:r w:rsidRPr="003477E6">
        <w:rPr>
          <w:rFonts w:ascii="Verdana" w:hAnsi="Verdana"/>
          <w:color w:val="000000"/>
        </w:rPr>
        <w:t xml:space="preserve">20% of people have impaired hearing and up to 70% of people aged over 70 have sensory loss. This can impact significantly on their ability to understand what they are being told and to interact effectively in a healthcare situation. </w:t>
      </w:r>
    </w:p>
    <w:p w14:paraId="00552D86" w14:textId="77777777" w:rsidR="00D05094" w:rsidRDefault="00D05094" w:rsidP="003477E6">
      <w:pPr>
        <w:jc w:val="both"/>
        <w:rPr>
          <w:rFonts w:ascii="Verdana" w:hAnsi="Verdana"/>
          <w:color w:val="000000"/>
        </w:rPr>
      </w:pPr>
    </w:p>
    <w:p w14:paraId="5EC02EA4" w14:textId="7BDE2800" w:rsidR="00D05094" w:rsidRPr="00D05094" w:rsidRDefault="00D05094" w:rsidP="00D05094">
      <w:pPr>
        <w:autoSpaceDE w:val="0"/>
        <w:autoSpaceDN w:val="0"/>
        <w:adjustRightInd w:val="0"/>
        <w:spacing w:after="240"/>
        <w:jc w:val="both"/>
        <w:rPr>
          <w:rFonts w:ascii="Verdana" w:hAnsi="Verdana"/>
          <w:color w:val="000000" w:themeColor="text1"/>
        </w:rPr>
      </w:pPr>
      <w:r w:rsidRPr="00D05094">
        <w:rPr>
          <w:rFonts w:ascii="Verdana" w:hAnsi="Verdana"/>
          <w:color w:val="000000" w:themeColor="text1"/>
        </w:rPr>
        <w:t xml:space="preserve">British Sign Language (BSL) is the preferred language of over 87,000 Deaf people in the UK for whom English may be a second or third language (A </w:t>
      </w:r>
      <w:r w:rsidRPr="00D05094">
        <w:rPr>
          <w:rFonts w:ascii="Verdana" w:hAnsi="Verdana"/>
          <w:color w:val="000000" w:themeColor="text1"/>
        </w:rPr>
        <w:lastRenderedPageBreak/>
        <w:t>total of 151,000 individuals in the UK can use BSL - this figure does not include professional BSL users, Interpreters, Translators etc.</w:t>
      </w:r>
      <w:r w:rsidR="00780DE8">
        <w:rPr>
          <w:rFonts w:ascii="Verdana" w:hAnsi="Verdana"/>
          <w:color w:val="000000" w:themeColor="text1"/>
        </w:rPr>
        <w:t>,</w:t>
      </w:r>
      <w:r w:rsidRPr="00D05094">
        <w:rPr>
          <w:rFonts w:ascii="Verdana" w:hAnsi="Verdana"/>
          <w:color w:val="000000" w:themeColor="text1"/>
        </w:rPr>
        <w:t xml:space="preserve"> unless they use BSL at home).</w:t>
      </w:r>
    </w:p>
    <w:p w14:paraId="0DCA35EE" w14:textId="77777777" w:rsidR="00D05094" w:rsidRPr="00D05094" w:rsidRDefault="00D05094" w:rsidP="00D05094">
      <w:pPr>
        <w:autoSpaceDE w:val="0"/>
        <w:autoSpaceDN w:val="0"/>
        <w:adjustRightInd w:val="0"/>
        <w:spacing w:after="240"/>
        <w:jc w:val="both"/>
        <w:rPr>
          <w:rFonts w:ascii="Verdana" w:hAnsi="Verdana"/>
          <w:color w:val="000000" w:themeColor="text1"/>
        </w:rPr>
      </w:pPr>
      <w:r w:rsidRPr="00D05094">
        <w:rPr>
          <w:rFonts w:ascii="Verdana" w:hAnsi="Verdana"/>
          <w:color w:val="000000" w:themeColor="text1"/>
        </w:rPr>
        <w:t>Sign languages are fully functional and expressive languages; at the same time they differ profoundly from spoken languages. BSL is a visual-gestural language with a distinctive grammar using handshapes, facial expressions, gestures and body language to convey meaning.</w:t>
      </w:r>
    </w:p>
    <w:p w14:paraId="21839FFD" w14:textId="77777777" w:rsidR="00D05094" w:rsidRPr="00D05094" w:rsidRDefault="00FE1EB8" w:rsidP="00D05094">
      <w:pPr>
        <w:autoSpaceDE w:val="0"/>
        <w:autoSpaceDN w:val="0"/>
        <w:adjustRightInd w:val="0"/>
        <w:spacing w:after="240"/>
        <w:jc w:val="both"/>
        <w:rPr>
          <w:rFonts w:ascii="Verdana" w:hAnsi="Verdana"/>
          <w:color w:val="000000" w:themeColor="text1"/>
        </w:rPr>
      </w:pPr>
      <w:r>
        <w:rPr>
          <w:rFonts w:ascii="Verdana" w:hAnsi="Verdana"/>
          <w:color w:val="000000" w:themeColor="text1"/>
        </w:rPr>
        <w:t>Contrary to popular belief, sign l</w:t>
      </w:r>
      <w:r w:rsidR="00D05094" w:rsidRPr="00D05094">
        <w:rPr>
          <w:rFonts w:ascii="Verdana" w:hAnsi="Verdana"/>
          <w:color w:val="000000" w:themeColor="text1"/>
        </w:rPr>
        <w:t>anguage is not international. Sign langu</w:t>
      </w:r>
      <w:r>
        <w:rPr>
          <w:rFonts w:ascii="Verdana" w:hAnsi="Verdana"/>
          <w:color w:val="000000" w:themeColor="text1"/>
        </w:rPr>
        <w:t>ages evolve wherever there are d</w:t>
      </w:r>
      <w:r w:rsidR="00D05094" w:rsidRPr="00D05094">
        <w:rPr>
          <w:rFonts w:ascii="Verdana" w:hAnsi="Verdana"/>
          <w:color w:val="000000" w:themeColor="text1"/>
        </w:rPr>
        <w:t>eaf people, and they show all the variation expect</w:t>
      </w:r>
      <w:r w:rsidR="00E46CDA">
        <w:rPr>
          <w:rFonts w:ascii="Verdana" w:hAnsi="Verdana"/>
          <w:color w:val="000000" w:themeColor="text1"/>
        </w:rPr>
        <w:t>ed</w:t>
      </w:r>
      <w:r w:rsidR="00D05094" w:rsidRPr="00D05094">
        <w:rPr>
          <w:rFonts w:ascii="Verdana" w:hAnsi="Verdana"/>
          <w:color w:val="000000" w:themeColor="text1"/>
        </w:rPr>
        <w:t xml:space="preserve"> from different spoken languages.</w:t>
      </w:r>
      <w:r w:rsidR="00E46CDA">
        <w:rPr>
          <w:rFonts w:ascii="Verdana" w:hAnsi="Verdana"/>
          <w:color w:val="000000" w:themeColor="text1"/>
        </w:rPr>
        <w:t xml:space="preserve"> T</w:t>
      </w:r>
      <w:r w:rsidR="00D05094" w:rsidRPr="00D05094">
        <w:rPr>
          <w:rFonts w:ascii="Verdana" w:hAnsi="Verdana"/>
          <w:color w:val="000000" w:themeColor="text1"/>
        </w:rPr>
        <w:t>he</w:t>
      </w:r>
      <w:r w:rsidR="00E46CDA">
        <w:rPr>
          <w:rFonts w:ascii="Verdana" w:hAnsi="Verdana"/>
          <w:color w:val="000000" w:themeColor="text1"/>
        </w:rPr>
        <w:t>y</w:t>
      </w:r>
      <w:r w:rsidR="00D05094" w:rsidRPr="00D05094">
        <w:rPr>
          <w:rFonts w:ascii="Verdana" w:hAnsi="Verdana"/>
          <w:color w:val="000000" w:themeColor="text1"/>
        </w:rPr>
        <w:t xml:space="preserve"> are not derived from the spoken language of a country. Thus, although in Great Britain, Ireland and the United States the main spoken language is English, al</w:t>
      </w:r>
      <w:r>
        <w:rPr>
          <w:rFonts w:ascii="Verdana" w:hAnsi="Verdana"/>
          <w:color w:val="000000" w:themeColor="text1"/>
        </w:rPr>
        <w:t>l three have entirely separate sign l</w:t>
      </w:r>
      <w:r w:rsidR="00D05094" w:rsidRPr="00D05094">
        <w:rPr>
          <w:rFonts w:ascii="Verdana" w:hAnsi="Verdana"/>
          <w:color w:val="000000" w:themeColor="text1"/>
        </w:rPr>
        <w:t xml:space="preserve">anguages. </w:t>
      </w:r>
    </w:p>
    <w:p w14:paraId="519D6D0C" w14:textId="77777777" w:rsidR="00D05094" w:rsidRPr="00D05094" w:rsidRDefault="00D05094" w:rsidP="00D05094">
      <w:pPr>
        <w:autoSpaceDE w:val="0"/>
        <w:autoSpaceDN w:val="0"/>
        <w:adjustRightInd w:val="0"/>
        <w:spacing w:after="240"/>
        <w:jc w:val="both"/>
        <w:rPr>
          <w:rFonts w:ascii="Verdana" w:hAnsi="Verdana"/>
          <w:color w:val="000000" w:themeColor="text1"/>
        </w:rPr>
      </w:pPr>
      <w:r w:rsidRPr="00D05094">
        <w:rPr>
          <w:rFonts w:ascii="Verdana" w:hAnsi="Verdana"/>
          <w:color w:val="000000" w:themeColor="text1"/>
        </w:rPr>
        <w:t>Deaf people can choose from a number of communication methods. An individual’s choice will have been determined by many factors to do with their experience and the nature and degree of their deafness. The range includes:</w:t>
      </w:r>
    </w:p>
    <w:p w14:paraId="1F6D51C8" w14:textId="77777777" w:rsidR="00D05094" w:rsidRPr="00D05094" w:rsidRDefault="00D05094" w:rsidP="00F57998">
      <w:pPr>
        <w:pStyle w:val="ListParagraph"/>
        <w:numPr>
          <w:ilvl w:val="0"/>
          <w:numId w:val="5"/>
        </w:numPr>
        <w:autoSpaceDE w:val="0"/>
        <w:autoSpaceDN w:val="0"/>
        <w:adjustRightInd w:val="0"/>
        <w:spacing w:line="276" w:lineRule="auto"/>
        <w:contextualSpacing/>
        <w:jc w:val="both"/>
        <w:rPr>
          <w:rFonts w:ascii="Verdana" w:hAnsi="Verdana"/>
          <w:color w:val="000000" w:themeColor="text1"/>
        </w:rPr>
      </w:pPr>
      <w:r w:rsidRPr="00D05094">
        <w:rPr>
          <w:rFonts w:ascii="Verdana" w:hAnsi="Verdana"/>
          <w:color w:val="000000" w:themeColor="text1"/>
        </w:rPr>
        <w:t>Sign Language</w:t>
      </w:r>
    </w:p>
    <w:p w14:paraId="3FE73920" w14:textId="77777777" w:rsidR="00D05094" w:rsidRPr="00D05094" w:rsidRDefault="00D05094" w:rsidP="00F57998">
      <w:pPr>
        <w:pStyle w:val="ListParagraph"/>
        <w:numPr>
          <w:ilvl w:val="0"/>
          <w:numId w:val="5"/>
        </w:numPr>
        <w:autoSpaceDE w:val="0"/>
        <w:autoSpaceDN w:val="0"/>
        <w:adjustRightInd w:val="0"/>
        <w:spacing w:line="276" w:lineRule="auto"/>
        <w:contextualSpacing/>
        <w:jc w:val="both"/>
        <w:rPr>
          <w:rFonts w:ascii="Verdana" w:hAnsi="Verdana"/>
          <w:color w:val="000000" w:themeColor="text1"/>
        </w:rPr>
      </w:pPr>
      <w:r w:rsidRPr="00D05094">
        <w:rPr>
          <w:rFonts w:ascii="Verdana" w:hAnsi="Verdana"/>
          <w:color w:val="000000" w:themeColor="text1"/>
        </w:rPr>
        <w:t>Lip-reading</w:t>
      </w:r>
    </w:p>
    <w:p w14:paraId="248767CE" w14:textId="77777777" w:rsidR="00D05094" w:rsidRPr="00D05094" w:rsidRDefault="00D05094" w:rsidP="00F57998">
      <w:pPr>
        <w:pStyle w:val="ListParagraph"/>
        <w:numPr>
          <w:ilvl w:val="0"/>
          <w:numId w:val="5"/>
        </w:numPr>
        <w:autoSpaceDE w:val="0"/>
        <w:autoSpaceDN w:val="0"/>
        <w:adjustRightInd w:val="0"/>
        <w:spacing w:line="276" w:lineRule="auto"/>
        <w:contextualSpacing/>
        <w:jc w:val="both"/>
        <w:rPr>
          <w:rFonts w:ascii="Verdana" w:hAnsi="Verdana"/>
          <w:color w:val="000000" w:themeColor="text1"/>
        </w:rPr>
      </w:pPr>
      <w:r w:rsidRPr="00D05094">
        <w:rPr>
          <w:rFonts w:ascii="Verdana" w:hAnsi="Verdana"/>
          <w:color w:val="000000" w:themeColor="text1"/>
        </w:rPr>
        <w:t>Fingerspelling</w:t>
      </w:r>
    </w:p>
    <w:p w14:paraId="79A601E1" w14:textId="77777777" w:rsidR="00D05094" w:rsidRPr="00D05094" w:rsidRDefault="00D05094" w:rsidP="00F57998">
      <w:pPr>
        <w:pStyle w:val="ListParagraph"/>
        <w:numPr>
          <w:ilvl w:val="0"/>
          <w:numId w:val="5"/>
        </w:numPr>
        <w:autoSpaceDE w:val="0"/>
        <w:autoSpaceDN w:val="0"/>
        <w:adjustRightInd w:val="0"/>
        <w:spacing w:line="276" w:lineRule="auto"/>
        <w:contextualSpacing/>
        <w:jc w:val="both"/>
        <w:rPr>
          <w:rFonts w:ascii="Verdana" w:hAnsi="Verdana"/>
          <w:color w:val="000000" w:themeColor="text1"/>
        </w:rPr>
      </w:pPr>
      <w:r w:rsidRPr="00D05094">
        <w:rPr>
          <w:rFonts w:ascii="Verdana" w:hAnsi="Verdana"/>
          <w:color w:val="000000" w:themeColor="text1"/>
        </w:rPr>
        <w:t>Deafblind fingerspelling</w:t>
      </w:r>
    </w:p>
    <w:p w14:paraId="70A30FD8" w14:textId="77777777" w:rsidR="00D05094" w:rsidRDefault="00D05094" w:rsidP="00F57998">
      <w:pPr>
        <w:pStyle w:val="ListParagraph"/>
        <w:numPr>
          <w:ilvl w:val="0"/>
          <w:numId w:val="5"/>
        </w:numPr>
        <w:autoSpaceDE w:val="0"/>
        <w:autoSpaceDN w:val="0"/>
        <w:adjustRightInd w:val="0"/>
        <w:spacing w:line="276" w:lineRule="auto"/>
        <w:contextualSpacing/>
        <w:jc w:val="both"/>
        <w:rPr>
          <w:rFonts w:ascii="Verdana" w:hAnsi="Verdana"/>
          <w:color w:val="000000" w:themeColor="text1"/>
        </w:rPr>
      </w:pPr>
      <w:r w:rsidRPr="00D05094">
        <w:rPr>
          <w:rFonts w:ascii="Verdana" w:hAnsi="Verdana"/>
          <w:color w:val="000000" w:themeColor="text1"/>
        </w:rPr>
        <w:t>Written communication</w:t>
      </w:r>
    </w:p>
    <w:p w14:paraId="2C6A61DF" w14:textId="77777777" w:rsidR="00EA58E9" w:rsidRDefault="00EA58E9" w:rsidP="00D05094">
      <w:pPr>
        <w:autoSpaceDE w:val="0"/>
        <w:autoSpaceDN w:val="0"/>
        <w:adjustRightInd w:val="0"/>
        <w:spacing w:after="240"/>
        <w:jc w:val="both"/>
        <w:rPr>
          <w:rFonts w:ascii="Verdana" w:hAnsi="Verdana"/>
          <w:color w:val="000000" w:themeColor="text1"/>
        </w:rPr>
      </w:pPr>
    </w:p>
    <w:p w14:paraId="3673AA7A" w14:textId="205D0A8C" w:rsidR="00D05094" w:rsidRPr="00D05094" w:rsidRDefault="00D05094" w:rsidP="00D05094">
      <w:pPr>
        <w:autoSpaceDE w:val="0"/>
        <w:autoSpaceDN w:val="0"/>
        <w:adjustRightInd w:val="0"/>
        <w:spacing w:after="240"/>
        <w:jc w:val="both"/>
        <w:rPr>
          <w:rFonts w:ascii="Verdana" w:hAnsi="Verdana"/>
          <w:color w:val="000000" w:themeColor="text1"/>
        </w:rPr>
      </w:pPr>
      <w:r w:rsidRPr="00D05094">
        <w:rPr>
          <w:rFonts w:ascii="Verdana" w:hAnsi="Verdana"/>
          <w:color w:val="000000" w:themeColor="text1"/>
        </w:rPr>
        <w:t>There are also signing systems that attempts to encode English into sign or to illustrate spoken English.</w:t>
      </w:r>
    </w:p>
    <w:p w14:paraId="0E5FE849" w14:textId="77777777" w:rsidR="00676A6B" w:rsidRDefault="00D05094" w:rsidP="003477E6">
      <w:pPr>
        <w:jc w:val="both"/>
        <w:rPr>
          <w:rFonts w:ascii="Verdana" w:hAnsi="Verdana"/>
          <w:color w:val="000000"/>
        </w:rPr>
      </w:pPr>
      <w:r w:rsidRPr="00D05094">
        <w:rPr>
          <w:rFonts w:ascii="Verdana" w:hAnsi="Verdana"/>
          <w:color w:val="000000" w:themeColor="text1"/>
        </w:rPr>
        <w:t xml:space="preserve">It can be difficult </w:t>
      </w:r>
      <w:r w:rsidR="00FE1EB8">
        <w:rPr>
          <w:rFonts w:ascii="Verdana" w:hAnsi="Verdana"/>
          <w:color w:val="000000" w:themeColor="text1"/>
        </w:rPr>
        <w:t>for a hearing person meeting a d</w:t>
      </w:r>
      <w:r w:rsidRPr="00D05094">
        <w:rPr>
          <w:rFonts w:ascii="Verdana" w:hAnsi="Verdana"/>
          <w:color w:val="000000" w:themeColor="text1"/>
        </w:rPr>
        <w:t>eaf person for the first time, not knowing what communication methods they prefer, but the barriers are usually broken down once communication via the right method is established</w:t>
      </w:r>
      <w:r w:rsidR="00676A6B">
        <w:rPr>
          <w:rFonts w:ascii="Verdana" w:hAnsi="Verdana"/>
          <w:color w:val="000000"/>
        </w:rPr>
        <w:t>.</w:t>
      </w:r>
    </w:p>
    <w:p w14:paraId="105EE375" w14:textId="77777777" w:rsidR="00F57998" w:rsidRDefault="00676A6B" w:rsidP="00676A6B">
      <w:pPr>
        <w:pStyle w:val="NormalWeb"/>
        <w:jc w:val="both"/>
        <w:rPr>
          <w:rFonts w:ascii="Verdana" w:hAnsi="Verdana"/>
          <w:color w:val="000000"/>
        </w:rPr>
      </w:pPr>
      <w:r w:rsidRPr="00676A6B">
        <w:rPr>
          <w:rFonts w:ascii="Verdana" w:hAnsi="Verdana"/>
          <w:color w:val="000000"/>
        </w:rPr>
        <w:t>People with sight loss can also be affected by a changed location particularly if they are reliant on guide dogs. Others with low vision will benefit from clear signage, maps etc. It will be essential to take account the needs of people with sensory loss. This is also relevant to people with dementia.</w:t>
      </w:r>
    </w:p>
    <w:p w14:paraId="2348B60E" w14:textId="77777777" w:rsidR="00F57998" w:rsidRPr="00F57998" w:rsidRDefault="00F57998" w:rsidP="00676A6B">
      <w:pPr>
        <w:pStyle w:val="NormalWeb"/>
        <w:jc w:val="both"/>
        <w:rPr>
          <w:rFonts w:ascii="Verdana" w:hAnsi="Verdana"/>
        </w:rPr>
      </w:pPr>
      <w:r w:rsidRPr="00F57998">
        <w:rPr>
          <w:rFonts w:ascii="Verdana" w:hAnsi="Verdana"/>
        </w:rPr>
        <w:t xml:space="preserve">There are already processes in place to support persons with disabilities, for example </w:t>
      </w:r>
    </w:p>
    <w:p w14:paraId="377CF38E" w14:textId="77777777" w:rsidR="00F57998" w:rsidRPr="00F57998" w:rsidRDefault="00F57998" w:rsidP="00F57998">
      <w:pPr>
        <w:pStyle w:val="NormalWeb"/>
        <w:numPr>
          <w:ilvl w:val="0"/>
          <w:numId w:val="8"/>
        </w:numPr>
        <w:jc w:val="both"/>
        <w:rPr>
          <w:rFonts w:ascii="Verdana" w:hAnsi="Verdana"/>
        </w:rPr>
      </w:pPr>
      <w:r w:rsidRPr="00F57998">
        <w:rPr>
          <w:rFonts w:ascii="Verdana" w:hAnsi="Verdana"/>
        </w:rPr>
        <w:t xml:space="preserve">Easy read patient information leaflets </w:t>
      </w:r>
    </w:p>
    <w:p w14:paraId="4F985877" w14:textId="77777777" w:rsidR="00F57998" w:rsidRPr="00F57998" w:rsidRDefault="00F57998" w:rsidP="00F57998">
      <w:pPr>
        <w:pStyle w:val="NormalWeb"/>
        <w:numPr>
          <w:ilvl w:val="0"/>
          <w:numId w:val="8"/>
        </w:numPr>
        <w:jc w:val="both"/>
        <w:rPr>
          <w:rFonts w:ascii="Verdana" w:hAnsi="Verdana"/>
        </w:rPr>
      </w:pPr>
      <w:r w:rsidRPr="00F57998">
        <w:rPr>
          <w:rFonts w:ascii="Verdana" w:hAnsi="Verdana"/>
        </w:rPr>
        <w:t>Wheelchair access at places of safety facilities</w:t>
      </w:r>
    </w:p>
    <w:p w14:paraId="2286AAD1" w14:textId="77777777" w:rsidR="00F57998" w:rsidRDefault="00F57998" w:rsidP="00F57998">
      <w:pPr>
        <w:pStyle w:val="NormalWeb"/>
        <w:numPr>
          <w:ilvl w:val="0"/>
          <w:numId w:val="8"/>
        </w:numPr>
        <w:jc w:val="both"/>
        <w:rPr>
          <w:rFonts w:ascii="Verdana" w:hAnsi="Verdana"/>
        </w:rPr>
      </w:pPr>
      <w:r w:rsidRPr="00F57998">
        <w:rPr>
          <w:rFonts w:ascii="Verdana" w:hAnsi="Verdana"/>
        </w:rPr>
        <w:t>Trans</w:t>
      </w:r>
      <w:r w:rsidR="00BC6B8E">
        <w:rPr>
          <w:rFonts w:ascii="Verdana" w:hAnsi="Verdana"/>
        </w:rPr>
        <w:t>lation services for those with s</w:t>
      </w:r>
      <w:r w:rsidRPr="00F57998">
        <w:rPr>
          <w:rFonts w:ascii="Verdana" w:hAnsi="Verdana"/>
        </w:rPr>
        <w:t>ensory issues</w:t>
      </w:r>
    </w:p>
    <w:p w14:paraId="2353E8BF" w14:textId="77777777" w:rsidR="00676A6B" w:rsidRDefault="00F57998" w:rsidP="003477E6">
      <w:pPr>
        <w:jc w:val="both"/>
        <w:rPr>
          <w:rFonts w:ascii="Verdana" w:hAnsi="Verdana"/>
          <w:color w:val="000000"/>
        </w:rPr>
      </w:pPr>
      <w:r w:rsidRPr="00F57998">
        <w:rPr>
          <w:rFonts w:ascii="Verdana" w:hAnsi="Verdana"/>
          <w:color w:val="000000"/>
        </w:rPr>
        <w:lastRenderedPageBreak/>
        <w:t>Th</w:t>
      </w:r>
      <w:r w:rsidR="00BD6A41">
        <w:rPr>
          <w:rFonts w:ascii="Verdana" w:hAnsi="Verdana"/>
          <w:color w:val="000000"/>
        </w:rPr>
        <w:t>e proposed relocation to a central single implantable device hub</w:t>
      </w:r>
      <w:r w:rsidRPr="00F57998">
        <w:rPr>
          <w:rFonts w:ascii="Verdana" w:hAnsi="Verdana"/>
          <w:color w:val="000000"/>
        </w:rPr>
        <w:t xml:space="preserve"> is not considered to have any significant likely impact on p</w:t>
      </w:r>
      <w:r>
        <w:rPr>
          <w:rFonts w:ascii="Verdana" w:hAnsi="Verdana"/>
          <w:color w:val="000000"/>
        </w:rPr>
        <w:t>atients based on their disability</w:t>
      </w:r>
      <w:r w:rsidRPr="00F57998">
        <w:rPr>
          <w:rFonts w:ascii="Verdana" w:hAnsi="Verdana"/>
          <w:color w:val="000000"/>
        </w:rPr>
        <w:t>.</w:t>
      </w:r>
    </w:p>
    <w:p w14:paraId="6514B28A" w14:textId="77777777" w:rsidR="007B0F53" w:rsidRPr="00676A6B" w:rsidRDefault="007B0F53" w:rsidP="003477E6">
      <w:pPr>
        <w:jc w:val="both"/>
        <w:rPr>
          <w:rFonts w:ascii="Verdana" w:hAnsi="Verdana"/>
          <w:color w:val="000000"/>
        </w:rPr>
      </w:pPr>
    </w:p>
    <w:p w14:paraId="66123917" w14:textId="77777777" w:rsidR="00DD1E09" w:rsidRDefault="00DD1E09" w:rsidP="003477E6">
      <w:pPr>
        <w:jc w:val="both"/>
        <w:rPr>
          <w:rFonts w:ascii="Verdana" w:hAnsi="Verdana"/>
          <w:b/>
          <w:color w:val="000000"/>
        </w:rPr>
      </w:pPr>
      <w:r w:rsidRPr="00DD1E09">
        <w:rPr>
          <w:rFonts w:ascii="Verdana" w:hAnsi="Verdana"/>
          <w:b/>
          <w:color w:val="000000"/>
        </w:rPr>
        <w:t>Ethnicity</w:t>
      </w:r>
      <w:r w:rsidR="00F57998">
        <w:rPr>
          <w:rFonts w:ascii="Verdana" w:hAnsi="Verdana"/>
          <w:b/>
          <w:color w:val="000000"/>
        </w:rPr>
        <w:t>/Race</w:t>
      </w:r>
    </w:p>
    <w:p w14:paraId="642502D7" w14:textId="77777777" w:rsidR="00DD1E09" w:rsidRDefault="00DD1E09" w:rsidP="00DD1E09">
      <w:pPr>
        <w:jc w:val="both"/>
        <w:rPr>
          <w:rFonts w:ascii="Verdana" w:hAnsi="Verdana" w:cs="Segoe UI"/>
          <w:color w:val="000000"/>
        </w:rPr>
      </w:pPr>
    </w:p>
    <w:p w14:paraId="7AEAE9FD" w14:textId="77777777" w:rsidR="00DD1E09" w:rsidRDefault="00DD1E09" w:rsidP="003477E6">
      <w:pPr>
        <w:jc w:val="both"/>
        <w:rPr>
          <w:rFonts w:ascii="Verdana" w:hAnsi="Verdana" w:cs="Arial"/>
          <w:lang w:val="en-US"/>
        </w:rPr>
      </w:pPr>
      <w:r w:rsidRPr="000E117C">
        <w:rPr>
          <w:rFonts w:ascii="Verdana" w:hAnsi="Verdana" w:cs="Arial"/>
          <w:lang w:val="en-US"/>
        </w:rPr>
        <w:t>Overall the area affected is slightly more ethnically diverse than Wales as a whole, with 5.5% black and minority ethnic (BME)</w:t>
      </w:r>
      <w:r w:rsidRPr="000E117C">
        <w:rPr>
          <w:rStyle w:val="FootnoteReference"/>
          <w:rFonts w:ascii="Verdana" w:hAnsi="Verdana" w:cs="Arial"/>
          <w:lang w:val="en-US"/>
        </w:rPr>
        <w:footnoteReference w:id="12"/>
      </w:r>
      <w:r w:rsidRPr="000E117C">
        <w:rPr>
          <w:rFonts w:ascii="Verdana" w:hAnsi="Verdana" w:cs="Arial"/>
          <w:lang w:val="en-US"/>
        </w:rPr>
        <w:t xml:space="preserve"> population compared to 4.4% BME population nationally.</w:t>
      </w:r>
      <w:r>
        <w:rPr>
          <w:rFonts w:ascii="Verdana" w:hAnsi="Verdana" w:cs="Segoe UI"/>
          <w:color w:val="000000"/>
        </w:rPr>
        <w:t xml:space="preserve">  </w:t>
      </w:r>
      <w:r w:rsidRPr="000E117C">
        <w:rPr>
          <w:rFonts w:ascii="Verdana" w:hAnsi="Verdana" w:cs="Arial"/>
          <w:lang w:val="en-US"/>
        </w:rPr>
        <w:t>The area affected contains two of the four Welsh asylum seekers dispersal areas (Cardiff and Newport), and this is reflected in the higher BME populations in these areas compared to the other local authorities. Cardiff has the highest BME population at 15.3% with Newport having the second highest BME population at 10.1%. BME populations outside these local authorities in the area affected are in the range of 1.5% to 2%.</w:t>
      </w:r>
    </w:p>
    <w:p w14:paraId="211F80BA" w14:textId="77777777" w:rsidR="00E27B8E" w:rsidRDefault="00E27B8E" w:rsidP="003477E6">
      <w:pPr>
        <w:jc w:val="both"/>
        <w:rPr>
          <w:rFonts w:ascii="Verdana" w:hAnsi="Verdana" w:cs="Arial"/>
          <w:lang w:val="en-US"/>
        </w:rPr>
      </w:pPr>
    </w:p>
    <w:p w14:paraId="509A361D" w14:textId="77777777" w:rsidR="00195D54" w:rsidRDefault="00195D54" w:rsidP="003477E6">
      <w:pPr>
        <w:jc w:val="both"/>
        <w:rPr>
          <w:rFonts w:ascii="Verdana" w:hAnsi="Verdana"/>
        </w:rPr>
      </w:pPr>
      <w:r w:rsidRPr="00E551F5">
        <w:rPr>
          <w:rFonts w:ascii="Verdana" w:hAnsi="Verdana"/>
        </w:rPr>
        <w:t>Some minority ethnic groups may have higher rates of hearing loss due to increased genetic risk associated with consanguinity and increased risk of childhood infections. Approximately 40% of children who are deaf and 45% of people younger than 60 years who are deaf have additional difficulties, such as other physical or sensory disabilities</w:t>
      </w:r>
      <w:r>
        <w:rPr>
          <w:rStyle w:val="FootnoteReference"/>
          <w:rFonts w:ascii="Verdana" w:hAnsi="Verdana"/>
        </w:rPr>
        <w:footnoteReference w:id="13"/>
      </w:r>
      <w:r w:rsidRPr="00E551F5">
        <w:rPr>
          <w:rFonts w:ascii="Verdana" w:hAnsi="Verdana"/>
        </w:rPr>
        <w:t>.</w:t>
      </w:r>
    </w:p>
    <w:p w14:paraId="471AC882" w14:textId="77777777" w:rsidR="00D87505" w:rsidRPr="00D87505" w:rsidRDefault="00D87505" w:rsidP="003477E6">
      <w:pPr>
        <w:jc w:val="both"/>
        <w:rPr>
          <w:rFonts w:ascii="Verdana" w:hAnsi="Verdana"/>
        </w:rPr>
      </w:pPr>
    </w:p>
    <w:p w14:paraId="698AF220" w14:textId="77777777" w:rsidR="00C9755D" w:rsidRDefault="00DD1E09" w:rsidP="00D87505">
      <w:pPr>
        <w:jc w:val="both"/>
        <w:rPr>
          <w:rFonts w:ascii="Verdana" w:hAnsi="Verdana"/>
          <w:color w:val="000000"/>
        </w:rPr>
      </w:pPr>
      <w:r w:rsidRPr="00DD1E09">
        <w:rPr>
          <w:rFonts w:ascii="Verdana" w:hAnsi="Verdana"/>
          <w:color w:val="000000"/>
        </w:rPr>
        <w:t>O</w:t>
      </w:r>
      <w:r w:rsidR="00EB266B">
        <w:rPr>
          <w:rFonts w:ascii="Verdana" w:hAnsi="Verdana"/>
          <w:color w:val="000000"/>
        </w:rPr>
        <w:t>verall, language can repr</w:t>
      </w:r>
      <w:r w:rsidRPr="00DD1E09">
        <w:rPr>
          <w:rFonts w:ascii="Verdana" w:hAnsi="Verdana"/>
          <w:color w:val="000000"/>
        </w:rPr>
        <w:t xml:space="preserve">esent a barrier across a number of areas, for example in accessing public transport and also in terms of finding and accessing health or social services. </w:t>
      </w:r>
    </w:p>
    <w:p w14:paraId="127799BB" w14:textId="77777777" w:rsidR="00C9755D" w:rsidRDefault="00C9755D" w:rsidP="00D87505">
      <w:pPr>
        <w:jc w:val="both"/>
        <w:rPr>
          <w:rFonts w:ascii="Verdana" w:hAnsi="Verdana"/>
          <w:color w:val="000000"/>
        </w:rPr>
      </w:pPr>
    </w:p>
    <w:p w14:paraId="11516830" w14:textId="77777777" w:rsidR="00D87505" w:rsidRDefault="00DD1E09" w:rsidP="00D87505">
      <w:pPr>
        <w:jc w:val="both"/>
        <w:rPr>
          <w:rFonts w:ascii="Verdana" w:hAnsi="Verdana"/>
          <w:color w:val="000000"/>
        </w:rPr>
      </w:pPr>
      <w:r w:rsidRPr="00C9755D">
        <w:rPr>
          <w:rFonts w:ascii="Verdana" w:hAnsi="Verdana"/>
          <w:color w:val="000000"/>
        </w:rPr>
        <w:t>Cultural differences may also be a factor in how people engage with health services.</w:t>
      </w:r>
      <w:r w:rsidR="00D87505" w:rsidRPr="00C9755D">
        <w:rPr>
          <w:rFonts w:ascii="Verdana" w:hAnsi="Verdana"/>
          <w:color w:val="000000"/>
        </w:rPr>
        <w:t xml:space="preserve"> </w:t>
      </w:r>
      <w:r w:rsidR="00C9755D" w:rsidRPr="00C9755D">
        <w:rPr>
          <w:rFonts w:ascii="Verdana" w:hAnsi="Verdana"/>
          <w:color w:val="000000"/>
        </w:rPr>
        <w:t>It can also limit understanding during diagnosis, treatment and during recovery. The use of translat</w:t>
      </w:r>
      <w:r w:rsidR="00D8314F">
        <w:rPr>
          <w:rFonts w:ascii="Verdana" w:hAnsi="Verdana"/>
          <w:color w:val="000000"/>
        </w:rPr>
        <w:t xml:space="preserve">ion services may be appropriate. </w:t>
      </w:r>
    </w:p>
    <w:p w14:paraId="7B16B753" w14:textId="77777777" w:rsidR="00D8314F" w:rsidRDefault="00D8314F" w:rsidP="00D87505">
      <w:pPr>
        <w:jc w:val="both"/>
        <w:rPr>
          <w:rFonts w:ascii="Verdana" w:hAnsi="Verdana"/>
          <w:color w:val="000000"/>
        </w:rPr>
      </w:pPr>
    </w:p>
    <w:p w14:paraId="3183ECB4" w14:textId="77777777" w:rsidR="00C9755D" w:rsidRPr="003D701C" w:rsidRDefault="00D87505" w:rsidP="00D87505">
      <w:pPr>
        <w:jc w:val="both"/>
        <w:rPr>
          <w:color w:val="000000"/>
          <w:sz w:val="27"/>
          <w:szCs w:val="27"/>
        </w:rPr>
      </w:pPr>
      <w:r w:rsidRPr="00DD1E09">
        <w:rPr>
          <w:rFonts w:ascii="Verdana" w:hAnsi="Verdana"/>
          <w:color w:val="000000"/>
        </w:rPr>
        <w:t>The language needs of patients from non-white ethnic groups will be taken into account when communicating information about the relocation of services.</w:t>
      </w:r>
    </w:p>
    <w:p w14:paraId="2D1C917B" w14:textId="14B18D27" w:rsidR="00EC4A66" w:rsidRDefault="00DD1E09" w:rsidP="00F57998">
      <w:pPr>
        <w:spacing w:before="100" w:beforeAutospacing="1" w:after="100" w:afterAutospacing="1"/>
        <w:jc w:val="both"/>
        <w:rPr>
          <w:rFonts w:ascii="Verdana" w:hAnsi="Verdana"/>
          <w:color w:val="000000"/>
        </w:rPr>
      </w:pPr>
      <w:r>
        <w:rPr>
          <w:rFonts w:ascii="Verdana" w:hAnsi="Verdana"/>
          <w:color w:val="000000"/>
        </w:rPr>
        <w:t>C</w:t>
      </w:r>
      <w:r w:rsidRPr="00DD1E09">
        <w:rPr>
          <w:rFonts w:ascii="Verdana" w:hAnsi="Verdana"/>
          <w:color w:val="000000"/>
        </w:rPr>
        <w:t>ertain ethnic groups are less likely to access many of our services</w:t>
      </w:r>
      <w:r w:rsidR="00780DE8">
        <w:rPr>
          <w:rFonts w:ascii="Verdana" w:hAnsi="Verdana"/>
          <w:color w:val="000000"/>
        </w:rPr>
        <w:t>.</w:t>
      </w:r>
      <w:r w:rsidRPr="00DD1E09">
        <w:rPr>
          <w:rFonts w:ascii="Verdana" w:hAnsi="Verdana"/>
          <w:color w:val="000000"/>
        </w:rPr>
        <w:t xml:space="preserve"> </w:t>
      </w:r>
      <w:r w:rsidR="00780DE8">
        <w:rPr>
          <w:rFonts w:ascii="Verdana" w:hAnsi="Verdana"/>
          <w:color w:val="000000"/>
        </w:rPr>
        <w:t>I</w:t>
      </w:r>
      <w:r w:rsidRPr="00DD1E09">
        <w:rPr>
          <w:rFonts w:ascii="Verdana" w:hAnsi="Verdana"/>
          <w:color w:val="000000"/>
        </w:rPr>
        <w:t>t will be important to take account of strategies which address this e.g. ‘Travelling to A Better Future’, Welsh Government. This has been a particular consideration in the development of the Health Board’s Homeless and Vulner</w:t>
      </w:r>
      <w:r w:rsidR="00F57998">
        <w:rPr>
          <w:rFonts w:ascii="Verdana" w:hAnsi="Verdana"/>
          <w:color w:val="000000"/>
        </w:rPr>
        <w:t>able Groups Health Action Plan.</w:t>
      </w:r>
    </w:p>
    <w:p w14:paraId="3C05D83A" w14:textId="77777777" w:rsidR="001A3B37" w:rsidRDefault="00D8314F" w:rsidP="003477E6">
      <w:pPr>
        <w:jc w:val="both"/>
        <w:rPr>
          <w:rFonts w:ascii="Verdana" w:hAnsi="Verdana"/>
        </w:rPr>
      </w:pPr>
      <w:r>
        <w:rPr>
          <w:rFonts w:ascii="Verdana" w:hAnsi="Verdana"/>
          <w:color w:val="000000"/>
        </w:rPr>
        <w:t>The proposed relocation to a central single implantable device hub</w:t>
      </w:r>
      <w:r w:rsidRPr="00F57998">
        <w:rPr>
          <w:rFonts w:ascii="Verdana" w:hAnsi="Verdana"/>
          <w:color w:val="000000"/>
        </w:rPr>
        <w:t xml:space="preserve"> </w:t>
      </w:r>
      <w:r w:rsidR="00EC4A66" w:rsidRPr="00EC4A66">
        <w:rPr>
          <w:rFonts w:ascii="Verdana" w:hAnsi="Verdana"/>
          <w:color w:val="000000"/>
        </w:rPr>
        <w:t>is not considered to have any significant likely impact on patients based on their ethnicity.</w:t>
      </w:r>
    </w:p>
    <w:p w14:paraId="4744F9EB" w14:textId="77777777" w:rsidR="00425C74" w:rsidRDefault="00425C74" w:rsidP="003477E6">
      <w:pPr>
        <w:jc w:val="both"/>
        <w:rPr>
          <w:rFonts w:ascii="Verdana" w:hAnsi="Verdana"/>
        </w:rPr>
      </w:pPr>
    </w:p>
    <w:p w14:paraId="3C3485D6" w14:textId="77777777" w:rsidR="00425C74" w:rsidRPr="00257C7B" w:rsidRDefault="00425C74" w:rsidP="00425C74">
      <w:pPr>
        <w:rPr>
          <w:rFonts w:ascii="Verdana" w:hAnsi="Verdana" w:cs="Arial"/>
          <w:sz w:val="22"/>
          <w:szCs w:val="20"/>
          <w:lang w:val="en-US"/>
        </w:rPr>
      </w:pPr>
      <w:r w:rsidRPr="00566665">
        <w:rPr>
          <w:rFonts w:ascii="Verdana" w:hAnsi="Verdana" w:cs="Arial"/>
          <w:b/>
          <w:sz w:val="22"/>
          <w:szCs w:val="20"/>
          <w:lang w:val="en-US"/>
        </w:rPr>
        <w:lastRenderedPageBreak/>
        <w:t>Table 4</w:t>
      </w:r>
      <w:r w:rsidRPr="00257C7B">
        <w:rPr>
          <w:rFonts w:ascii="Verdana" w:hAnsi="Verdana" w:cs="Arial"/>
          <w:sz w:val="22"/>
          <w:szCs w:val="20"/>
          <w:lang w:val="en-US"/>
        </w:rPr>
        <w:t xml:space="preserve"> Ethnic group by unitary authorities in Wales (Source: Table KS201EW Census 2011, ONS).</w:t>
      </w:r>
    </w:p>
    <w:p w14:paraId="45FF37F0" w14:textId="77777777" w:rsidR="00425C74" w:rsidRPr="000E117C" w:rsidRDefault="00425C74" w:rsidP="00425C74">
      <w:pPr>
        <w:rPr>
          <w:rFonts w:ascii="Verdana" w:hAnsi="Verdana" w:cs="Arial"/>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970"/>
        <w:gridCol w:w="930"/>
        <w:gridCol w:w="929"/>
        <w:gridCol w:w="929"/>
        <w:gridCol w:w="929"/>
        <w:gridCol w:w="1112"/>
        <w:gridCol w:w="1356"/>
      </w:tblGrid>
      <w:tr w:rsidR="00425C74" w:rsidRPr="000E117C" w14:paraId="6E2A1467" w14:textId="77777777" w:rsidTr="00C21FEC">
        <w:trPr>
          <w:trHeight w:val="3945"/>
        </w:trPr>
        <w:tc>
          <w:tcPr>
            <w:tcW w:w="1985" w:type="dxa"/>
            <w:shd w:val="clear" w:color="auto" w:fill="auto"/>
            <w:noWrap/>
            <w:vAlign w:val="bottom"/>
            <w:hideMark/>
          </w:tcPr>
          <w:p w14:paraId="6B11B9D1"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Region</w:t>
            </w:r>
          </w:p>
        </w:tc>
        <w:tc>
          <w:tcPr>
            <w:tcW w:w="940" w:type="dxa"/>
            <w:shd w:val="clear" w:color="auto" w:fill="auto"/>
            <w:noWrap/>
            <w:textDirection w:val="btLr"/>
            <w:vAlign w:val="bottom"/>
            <w:hideMark/>
          </w:tcPr>
          <w:p w14:paraId="221279A5"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White</w:t>
            </w:r>
          </w:p>
        </w:tc>
        <w:tc>
          <w:tcPr>
            <w:tcW w:w="930" w:type="dxa"/>
            <w:shd w:val="clear" w:color="auto" w:fill="auto"/>
            <w:noWrap/>
            <w:textDirection w:val="btLr"/>
            <w:vAlign w:val="bottom"/>
            <w:hideMark/>
          </w:tcPr>
          <w:p w14:paraId="39D16604"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Mixed / Multiple ethnic group</w:t>
            </w:r>
          </w:p>
        </w:tc>
        <w:tc>
          <w:tcPr>
            <w:tcW w:w="929" w:type="dxa"/>
            <w:shd w:val="clear" w:color="auto" w:fill="auto"/>
            <w:noWrap/>
            <w:textDirection w:val="btLr"/>
            <w:vAlign w:val="bottom"/>
            <w:hideMark/>
          </w:tcPr>
          <w:p w14:paraId="31436E56"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Asian / Asian British</w:t>
            </w:r>
          </w:p>
        </w:tc>
        <w:tc>
          <w:tcPr>
            <w:tcW w:w="929" w:type="dxa"/>
            <w:shd w:val="clear" w:color="auto" w:fill="auto"/>
            <w:noWrap/>
            <w:textDirection w:val="btLr"/>
            <w:vAlign w:val="bottom"/>
            <w:hideMark/>
          </w:tcPr>
          <w:p w14:paraId="02ECACA4"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rPr>
              <w:t>Black / African / Caribbean / Black British</w:t>
            </w:r>
          </w:p>
        </w:tc>
        <w:tc>
          <w:tcPr>
            <w:tcW w:w="929" w:type="dxa"/>
            <w:shd w:val="clear" w:color="auto" w:fill="auto"/>
            <w:noWrap/>
            <w:textDirection w:val="btLr"/>
            <w:vAlign w:val="bottom"/>
            <w:hideMark/>
          </w:tcPr>
          <w:p w14:paraId="4CA7C96C"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Other ethnic group</w:t>
            </w:r>
          </w:p>
        </w:tc>
        <w:tc>
          <w:tcPr>
            <w:tcW w:w="1075" w:type="dxa"/>
            <w:shd w:val="clear" w:color="auto" w:fill="auto"/>
            <w:noWrap/>
            <w:vAlign w:val="bottom"/>
            <w:hideMark/>
          </w:tcPr>
          <w:p w14:paraId="5BE716C4"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Total (%)</w:t>
            </w:r>
          </w:p>
        </w:tc>
        <w:tc>
          <w:tcPr>
            <w:tcW w:w="1309" w:type="dxa"/>
            <w:shd w:val="clear" w:color="auto" w:fill="auto"/>
            <w:noWrap/>
            <w:vAlign w:val="bottom"/>
            <w:hideMark/>
          </w:tcPr>
          <w:p w14:paraId="4B614893"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Total</w:t>
            </w:r>
          </w:p>
        </w:tc>
      </w:tr>
      <w:tr w:rsidR="00425C74" w:rsidRPr="000E117C" w14:paraId="3A4F1773" w14:textId="77777777" w:rsidTr="00C21FEC">
        <w:trPr>
          <w:trHeight w:hRule="exact" w:val="300"/>
        </w:trPr>
        <w:tc>
          <w:tcPr>
            <w:tcW w:w="1985" w:type="dxa"/>
            <w:shd w:val="clear" w:color="auto" w:fill="auto"/>
            <w:noWrap/>
            <w:vAlign w:val="bottom"/>
            <w:hideMark/>
          </w:tcPr>
          <w:p w14:paraId="5F5DADED"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Aneurin Bevan</w:t>
            </w:r>
          </w:p>
        </w:tc>
        <w:tc>
          <w:tcPr>
            <w:tcW w:w="940" w:type="dxa"/>
            <w:shd w:val="clear" w:color="auto" w:fill="auto"/>
            <w:noWrap/>
            <w:vAlign w:val="bottom"/>
            <w:hideMark/>
          </w:tcPr>
          <w:p w14:paraId="27E6365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96.1%</w:t>
            </w:r>
          </w:p>
        </w:tc>
        <w:tc>
          <w:tcPr>
            <w:tcW w:w="930" w:type="dxa"/>
            <w:shd w:val="clear" w:color="auto" w:fill="auto"/>
            <w:noWrap/>
            <w:vAlign w:val="bottom"/>
            <w:hideMark/>
          </w:tcPr>
          <w:p w14:paraId="45BF67E5"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w:t>
            </w:r>
          </w:p>
        </w:tc>
        <w:tc>
          <w:tcPr>
            <w:tcW w:w="929" w:type="dxa"/>
            <w:shd w:val="clear" w:color="auto" w:fill="auto"/>
            <w:noWrap/>
            <w:vAlign w:val="bottom"/>
            <w:hideMark/>
          </w:tcPr>
          <w:p w14:paraId="5B01902F"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2.0%</w:t>
            </w:r>
          </w:p>
        </w:tc>
        <w:tc>
          <w:tcPr>
            <w:tcW w:w="929" w:type="dxa"/>
            <w:shd w:val="clear" w:color="auto" w:fill="auto"/>
            <w:noWrap/>
            <w:vAlign w:val="bottom"/>
            <w:hideMark/>
          </w:tcPr>
          <w:p w14:paraId="66054CA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0.6%</w:t>
            </w:r>
          </w:p>
        </w:tc>
        <w:tc>
          <w:tcPr>
            <w:tcW w:w="929" w:type="dxa"/>
            <w:shd w:val="clear" w:color="auto" w:fill="auto"/>
            <w:noWrap/>
            <w:vAlign w:val="bottom"/>
            <w:hideMark/>
          </w:tcPr>
          <w:p w14:paraId="745AFDAE"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0.3%</w:t>
            </w:r>
          </w:p>
        </w:tc>
        <w:tc>
          <w:tcPr>
            <w:tcW w:w="1075" w:type="dxa"/>
            <w:shd w:val="clear" w:color="auto" w:fill="auto"/>
            <w:noWrap/>
            <w:vAlign w:val="bottom"/>
            <w:hideMark/>
          </w:tcPr>
          <w:p w14:paraId="61C2F9F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100.0%</w:t>
            </w:r>
          </w:p>
        </w:tc>
        <w:tc>
          <w:tcPr>
            <w:tcW w:w="1309" w:type="dxa"/>
            <w:shd w:val="clear" w:color="auto" w:fill="auto"/>
            <w:noWrap/>
            <w:vAlign w:val="bottom"/>
            <w:hideMark/>
          </w:tcPr>
          <w:p w14:paraId="0FFB649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576,754</w:t>
            </w:r>
          </w:p>
        </w:tc>
      </w:tr>
      <w:tr w:rsidR="00425C74" w:rsidRPr="000E117C" w14:paraId="03EB2B96" w14:textId="77777777" w:rsidTr="00C21FEC">
        <w:trPr>
          <w:trHeight w:hRule="exact" w:val="300"/>
        </w:trPr>
        <w:tc>
          <w:tcPr>
            <w:tcW w:w="1985" w:type="dxa"/>
            <w:shd w:val="clear" w:color="auto" w:fill="auto"/>
            <w:noWrap/>
            <w:vAlign w:val="bottom"/>
            <w:hideMark/>
          </w:tcPr>
          <w:p w14:paraId="074376C4"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0"/>
                <w:lang w:val="en-US"/>
              </w:rPr>
              <w:t>Caerphilly</w:t>
            </w:r>
            <w:proofErr w:type="spellEnd"/>
          </w:p>
        </w:tc>
        <w:tc>
          <w:tcPr>
            <w:tcW w:w="940" w:type="dxa"/>
            <w:shd w:val="clear" w:color="auto" w:fill="auto"/>
            <w:noWrap/>
            <w:vAlign w:val="bottom"/>
            <w:hideMark/>
          </w:tcPr>
          <w:p w14:paraId="422FE47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98.3%</w:t>
            </w:r>
          </w:p>
        </w:tc>
        <w:tc>
          <w:tcPr>
            <w:tcW w:w="930" w:type="dxa"/>
            <w:shd w:val="clear" w:color="auto" w:fill="auto"/>
            <w:noWrap/>
            <w:vAlign w:val="bottom"/>
            <w:hideMark/>
          </w:tcPr>
          <w:p w14:paraId="425C89F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0.7%</w:t>
            </w:r>
          </w:p>
        </w:tc>
        <w:tc>
          <w:tcPr>
            <w:tcW w:w="929" w:type="dxa"/>
            <w:shd w:val="clear" w:color="auto" w:fill="auto"/>
            <w:noWrap/>
            <w:vAlign w:val="bottom"/>
            <w:hideMark/>
          </w:tcPr>
          <w:p w14:paraId="73258F4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0.8%</w:t>
            </w:r>
          </w:p>
        </w:tc>
        <w:tc>
          <w:tcPr>
            <w:tcW w:w="929" w:type="dxa"/>
            <w:shd w:val="clear" w:color="auto" w:fill="auto"/>
            <w:noWrap/>
            <w:vAlign w:val="bottom"/>
            <w:hideMark/>
          </w:tcPr>
          <w:p w14:paraId="02F7CDF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929" w:type="dxa"/>
            <w:shd w:val="clear" w:color="auto" w:fill="auto"/>
            <w:noWrap/>
            <w:vAlign w:val="bottom"/>
            <w:hideMark/>
          </w:tcPr>
          <w:p w14:paraId="77A4ADA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1075" w:type="dxa"/>
            <w:shd w:val="clear" w:color="auto" w:fill="auto"/>
            <w:noWrap/>
            <w:vAlign w:val="bottom"/>
            <w:hideMark/>
          </w:tcPr>
          <w:p w14:paraId="03A7D43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5885110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178,806</w:t>
            </w:r>
          </w:p>
        </w:tc>
      </w:tr>
      <w:tr w:rsidR="00425C74" w:rsidRPr="000E117C" w14:paraId="62D83BFD" w14:textId="77777777" w:rsidTr="00C21FEC">
        <w:trPr>
          <w:trHeight w:hRule="exact" w:val="300"/>
        </w:trPr>
        <w:tc>
          <w:tcPr>
            <w:tcW w:w="1985" w:type="dxa"/>
            <w:shd w:val="clear" w:color="auto" w:fill="auto"/>
            <w:noWrap/>
            <w:vAlign w:val="bottom"/>
            <w:hideMark/>
          </w:tcPr>
          <w:p w14:paraId="6FF3DE80"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0"/>
                <w:lang w:val="en-US"/>
              </w:rPr>
              <w:t>Blaenau</w:t>
            </w:r>
            <w:proofErr w:type="spellEnd"/>
            <w:r w:rsidRPr="000E117C">
              <w:rPr>
                <w:rFonts w:ascii="Verdana" w:hAnsi="Verdana"/>
                <w:i/>
                <w:iCs/>
                <w:color w:val="000000"/>
                <w:sz w:val="20"/>
                <w:szCs w:val="20"/>
                <w:lang w:val="en-US"/>
              </w:rPr>
              <w:t xml:space="preserve"> Gwent</w:t>
            </w:r>
          </w:p>
        </w:tc>
        <w:tc>
          <w:tcPr>
            <w:tcW w:w="940" w:type="dxa"/>
            <w:shd w:val="clear" w:color="auto" w:fill="auto"/>
            <w:noWrap/>
            <w:vAlign w:val="bottom"/>
            <w:hideMark/>
          </w:tcPr>
          <w:p w14:paraId="79ABB98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98.5%</w:t>
            </w:r>
          </w:p>
        </w:tc>
        <w:tc>
          <w:tcPr>
            <w:tcW w:w="930" w:type="dxa"/>
            <w:shd w:val="clear" w:color="auto" w:fill="auto"/>
            <w:noWrap/>
            <w:vAlign w:val="bottom"/>
            <w:hideMark/>
          </w:tcPr>
          <w:p w14:paraId="4BF85E0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0.6%</w:t>
            </w:r>
          </w:p>
        </w:tc>
        <w:tc>
          <w:tcPr>
            <w:tcW w:w="929" w:type="dxa"/>
            <w:shd w:val="clear" w:color="auto" w:fill="auto"/>
            <w:noWrap/>
            <w:vAlign w:val="bottom"/>
            <w:hideMark/>
          </w:tcPr>
          <w:p w14:paraId="123B4BF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0.7%</w:t>
            </w:r>
          </w:p>
        </w:tc>
        <w:tc>
          <w:tcPr>
            <w:tcW w:w="929" w:type="dxa"/>
            <w:shd w:val="clear" w:color="auto" w:fill="auto"/>
            <w:noWrap/>
            <w:vAlign w:val="bottom"/>
            <w:hideMark/>
          </w:tcPr>
          <w:p w14:paraId="07DE296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929" w:type="dxa"/>
            <w:shd w:val="clear" w:color="auto" w:fill="auto"/>
            <w:noWrap/>
            <w:vAlign w:val="bottom"/>
            <w:hideMark/>
          </w:tcPr>
          <w:p w14:paraId="70E6689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1075" w:type="dxa"/>
            <w:shd w:val="clear" w:color="auto" w:fill="auto"/>
            <w:noWrap/>
            <w:vAlign w:val="bottom"/>
            <w:hideMark/>
          </w:tcPr>
          <w:p w14:paraId="524780C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1C256D2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69,814</w:t>
            </w:r>
          </w:p>
        </w:tc>
      </w:tr>
      <w:tr w:rsidR="00425C74" w:rsidRPr="000E117C" w14:paraId="3ED600F7" w14:textId="77777777" w:rsidTr="00C21FEC">
        <w:trPr>
          <w:trHeight w:hRule="exact" w:val="300"/>
        </w:trPr>
        <w:tc>
          <w:tcPr>
            <w:tcW w:w="1985" w:type="dxa"/>
            <w:shd w:val="clear" w:color="auto" w:fill="auto"/>
            <w:noWrap/>
            <w:vAlign w:val="bottom"/>
            <w:hideMark/>
          </w:tcPr>
          <w:p w14:paraId="1C82512C"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0"/>
                <w:lang w:val="en-US"/>
              </w:rPr>
              <w:t>Torfaen</w:t>
            </w:r>
            <w:proofErr w:type="spellEnd"/>
          </w:p>
        </w:tc>
        <w:tc>
          <w:tcPr>
            <w:tcW w:w="940" w:type="dxa"/>
            <w:shd w:val="clear" w:color="auto" w:fill="auto"/>
            <w:noWrap/>
            <w:vAlign w:val="bottom"/>
            <w:hideMark/>
          </w:tcPr>
          <w:p w14:paraId="4E70CCE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98.0%</w:t>
            </w:r>
          </w:p>
        </w:tc>
        <w:tc>
          <w:tcPr>
            <w:tcW w:w="930" w:type="dxa"/>
            <w:shd w:val="clear" w:color="auto" w:fill="auto"/>
            <w:noWrap/>
            <w:vAlign w:val="bottom"/>
            <w:hideMark/>
          </w:tcPr>
          <w:p w14:paraId="5872153B"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0.7%</w:t>
            </w:r>
          </w:p>
        </w:tc>
        <w:tc>
          <w:tcPr>
            <w:tcW w:w="929" w:type="dxa"/>
            <w:shd w:val="clear" w:color="auto" w:fill="auto"/>
            <w:noWrap/>
            <w:vAlign w:val="bottom"/>
            <w:hideMark/>
          </w:tcPr>
          <w:p w14:paraId="2BA56BA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1.1%</w:t>
            </w:r>
          </w:p>
        </w:tc>
        <w:tc>
          <w:tcPr>
            <w:tcW w:w="929" w:type="dxa"/>
            <w:shd w:val="clear" w:color="auto" w:fill="auto"/>
            <w:noWrap/>
            <w:vAlign w:val="bottom"/>
            <w:hideMark/>
          </w:tcPr>
          <w:p w14:paraId="04208D4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0.2%</w:t>
            </w:r>
          </w:p>
        </w:tc>
        <w:tc>
          <w:tcPr>
            <w:tcW w:w="929" w:type="dxa"/>
            <w:shd w:val="clear" w:color="auto" w:fill="auto"/>
            <w:noWrap/>
            <w:vAlign w:val="bottom"/>
            <w:hideMark/>
          </w:tcPr>
          <w:p w14:paraId="6FD80CC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1075" w:type="dxa"/>
            <w:shd w:val="clear" w:color="auto" w:fill="auto"/>
            <w:noWrap/>
            <w:vAlign w:val="bottom"/>
            <w:hideMark/>
          </w:tcPr>
          <w:p w14:paraId="4E6EBBB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0923D60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91,075</w:t>
            </w:r>
          </w:p>
        </w:tc>
      </w:tr>
      <w:tr w:rsidR="00425C74" w:rsidRPr="000E117C" w14:paraId="7AA7BFA7" w14:textId="77777777" w:rsidTr="00C21FEC">
        <w:trPr>
          <w:trHeight w:hRule="exact" w:val="300"/>
        </w:trPr>
        <w:tc>
          <w:tcPr>
            <w:tcW w:w="1985" w:type="dxa"/>
            <w:shd w:val="clear" w:color="auto" w:fill="auto"/>
            <w:noWrap/>
            <w:vAlign w:val="bottom"/>
            <w:hideMark/>
          </w:tcPr>
          <w:p w14:paraId="32EFCF56"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0"/>
                <w:lang w:val="en-US"/>
              </w:rPr>
              <w:t>Monmouthshire</w:t>
            </w:r>
            <w:proofErr w:type="spellEnd"/>
          </w:p>
        </w:tc>
        <w:tc>
          <w:tcPr>
            <w:tcW w:w="940" w:type="dxa"/>
            <w:shd w:val="clear" w:color="auto" w:fill="auto"/>
            <w:noWrap/>
            <w:vAlign w:val="bottom"/>
            <w:hideMark/>
          </w:tcPr>
          <w:p w14:paraId="34F1D44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98.0%</w:t>
            </w:r>
          </w:p>
        </w:tc>
        <w:tc>
          <w:tcPr>
            <w:tcW w:w="930" w:type="dxa"/>
            <w:shd w:val="clear" w:color="auto" w:fill="auto"/>
            <w:noWrap/>
            <w:vAlign w:val="bottom"/>
            <w:hideMark/>
          </w:tcPr>
          <w:p w14:paraId="3C69B74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0.7%</w:t>
            </w:r>
          </w:p>
        </w:tc>
        <w:tc>
          <w:tcPr>
            <w:tcW w:w="929" w:type="dxa"/>
            <w:shd w:val="clear" w:color="auto" w:fill="auto"/>
            <w:noWrap/>
            <w:vAlign w:val="bottom"/>
            <w:hideMark/>
          </w:tcPr>
          <w:p w14:paraId="3EA918E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w:t>
            </w:r>
          </w:p>
        </w:tc>
        <w:tc>
          <w:tcPr>
            <w:tcW w:w="929" w:type="dxa"/>
            <w:shd w:val="clear" w:color="auto" w:fill="auto"/>
            <w:noWrap/>
            <w:vAlign w:val="bottom"/>
            <w:hideMark/>
          </w:tcPr>
          <w:p w14:paraId="782E18C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0.2%</w:t>
            </w:r>
          </w:p>
        </w:tc>
        <w:tc>
          <w:tcPr>
            <w:tcW w:w="929" w:type="dxa"/>
            <w:shd w:val="clear" w:color="auto" w:fill="auto"/>
            <w:noWrap/>
            <w:vAlign w:val="bottom"/>
            <w:hideMark/>
          </w:tcPr>
          <w:p w14:paraId="1B79A4F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1075" w:type="dxa"/>
            <w:shd w:val="clear" w:color="auto" w:fill="auto"/>
            <w:noWrap/>
            <w:vAlign w:val="bottom"/>
            <w:hideMark/>
          </w:tcPr>
          <w:p w14:paraId="24B9AE2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025B10F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91,323</w:t>
            </w:r>
          </w:p>
        </w:tc>
      </w:tr>
      <w:tr w:rsidR="00425C74" w:rsidRPr="000E117C" w14:paraId="658A6BB3" w14:textId="77777777" w:rsidTr="00C21FEC">
        <w:trPr>
          <w:trHeight w:hRule="exact" w:val="300"/>
        </w:trPr>
        <w:tc>
          <w:tcPr>
            <w:tcW w:w="1985" w:type="dxa"/>
            <w:shd w:val="clear" w:color="auto" w:fill="auto"/>
            <w:noWrap/>
            <w:vAlign w:val="bottom"/>
            <w:hideMark/>
          </w:tcPr>
          <w:p w14:paraId="107072A4"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lang w:val="en-US"/>
              </w:rPr>
              <w:t>Newport</w:t>
            </w:r>
          </w:p>
        </w:tc>
        <w:tc>
          <w:tcPr>
            <w:tcW w:w="940" w:type="dxa"/>
            <w:shd w:val="clear" w:color="auto" w:fill="auto"/>
            <w:noWrap/>
            <w:vAlign w:val="bottom"/>
            <w:hideMark/>
          </w:tcPr>
          <w:p w14:paraId="44EAC9A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89.9%</w:t>
            </w:r>
          </w:p>
        </w:tc>
        <w:tc>
          <w:tcPr>
            <w:tcW w:w="930" w:type="dxa"/>
            <w:shd w:val="clear" w:color="auto" w:fill="auto"/>
            <w:noWrap/>
            <w:vAlign w:val="bottom"/>
            <w:hideMark/>
          </w:tcPr>
          <w:p w14:paraId="7E460D5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1.9%</w:t>
            </w:r>
          </w:p>
        </w:tc>
        <w:tc>
          <w:tcPr>
            <w:tcW w:w="929" w:type="dxa"/>
            <w:shd w:val="clear" w:color="auto" w:fill="auto"/>
            <w:noWrap/>
            <w:vAlign w:val="bottom"/>
            <w:hideMark/>
          </w:tcPr>
          <w:p w14:paraId="607A930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5.5%</w:t>
            </w:r>
          </w:p>
        </w:tc>
        <w:tc>
          <w:tcPr>
            <w:tcW w:w="929" w:type="dxa"/>
            <w:shd w:val="clear" w:color="auto" w:fill="auto"/>
            <w:noWrap/>
            <w:vAlign w:val="bottom"/>
            <w:hideMark/>
          </w:tcPr>
          <w:p w14:paraId="5966637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1.7%</w:t>
            </w:r>
          </w:p>
        </w:tc>
        <w:tc>
          <w:tcPr>
            <w:tcW w:w="929" w:type="dxa"/>
            <w:shd w:val="clear" w:color="auto" w:fill="auto"/>
            <w:noWrap/>
            <w:vAlign w:val="bottom"/>
            <w:hideMark/>
          </w:tcPr>
          <w:p w14:paraId="48024E0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w:t>
            </w:r>
          </w:p>
        </w:tc>
        <w:tc>
          <w:tcPr>
            <w:tcW w:w="1075" w:type="dxa"/>
            <w:shd w:val="clear" w:color="auto" w:fill="auto"/>
            <w:noWrap/>
            <w:vAlign w:val="bottom"/>
            <w:hideMark/>
          </w:tcPr>
          <w:p w14:paraId="1B784A2C"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70C2357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145,736</w:t>
            </w:r>
          </w:p>
        </w:tc>
      </w:tr>
      <w:tr w:rsidR="00425C74" w:rsidRPr="000E117C" w14:paraId="50E00AA1" w14:textId="77777777" w:rsidTr="00C21FEC">
        <w:trPr>
          <w:trHeight w:hRule="exact" w:val="300"/>
        </w:trPr>
        <w:tc>
          <w:tcPr>
            <w:tcW w:w="1985" w:type="dxa"/>
            <w:shd w:val="clear" w:color="auto" w:fill="auto"/>
            <w:noWrap/>
            <w:vAlign w:val="bottom"/>
            <w:hideMark/>
          </w:tcPr>
          <w:p w14:paraId="0A529EE7"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Cardiff and Vale UHB</w:t>
            </w:r>
          </w:p>
        </w:tc>
        <w:tc>
          <w:tcPr>
            <w:tcW w:w="940" w:type="dxa"/>
            <w:shd w:val="clear" w:color="auto" w:fill="auto"/>
            <w:noWrap/>
            <w:vAlign w:val="bottom"/>
            <w:hideMark/>
          </w:tcPr>
          <w:p w14:paraId="1EA6B47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87.8%</w:t>
            </w:r>
          </w:p>
        </w:tc>
        <w:tc>
          <w:tcPr>
            <w:tcW w:w="930" w:type="dxa"/>
            <w:shd w:val="clear" w:color="auto" w:fill="auto"/>
            <w:noWrap/>
            <w:vAlign w:val="bottom"/>
            <w:hideMark/>
          </w:tcPr>
          <w:p w14:paraId="7C66546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2.5%</w:t>
            </w:r>
          </w:p>
        </w:tc>
        <w:tc>
          <w:tcPr>
            <w:tcW w:w="929" w:type="dxa"/>
            <w:shd w:val="clear" w:color="auto" w:fill="auto"/>
            <w:noWrap/>
            <w:vAlign w:val="bottom"/>
            <w:hideMark/>
          </w:tcPr>
          <w:p w14:paraId="7CC0FA6F"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6.3%</w:t>
            </w:r>
          </w:p>
        </w:tc>
        <w:tc>
          <w:tcPr>
            <w:tcW w:w="929" w:type="dxa"/>
            <w:shd w:val="clear" w:color="auto" w:fill="auto"/>
            <w:noWrap/>
            <w:vAlign w:val="bottom"/>
            <w:hideMark/>
          </w:tcPr>
          <w:p w14:paraId="125480D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1.8%</w:t>
            </w:r>
          </w:p>
        </w:tc>
        <w:tc>
          <w:tcPr>
            <w:tcW w:w="929" w:type="dxa"/>
            <w:shd w:val="clear" w:color="auto" w:fill="auto"/>
            <w:noWrap/>
            <w:vAlign w:val="bottom"/>
            <w:hideMark/>
          </w:tcPr>
          <w:p w14:paraId="4EDE9B9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1.5%</w:t>
            </w:r>
          </w:p>
        </w:tc>
        <w:tc>
          <w:tcPr>
            <w:tcW w:w="1075" w:type="dxa"/>
            <w:shd w:val="clear" w:color="auto" w:fill="auto"/>
            <w:noWrap/>
            <w:vAlign w:val="bottom"/>
            <w:hideMark/>
          </w:tcPr>
          <w:p w14:paraId="4D036BCF"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100.0%</w:t>
            </w:r>
          </w:p>
        </w:tc>
        <w:tc>
          <w:tcPr>
            <w:tcW w:w="1309" w:type="dxa"/>
            <w:shd w:val="clear" w:color="auto" w:fill="auto"/>
            <w:noWrap/>
            <w:vAlign w:val="bottom"/>
            <w:hideMark/>
          </w:tcPr>
          <w:p w14:paraId="174BC56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472,426</w:t>
            </w:r>
          </w:p>
        </w:tc>
      </w:tr>
      <w:tr w:rsidR="00425C74" w:rsidRPr="000E117C" w14:paraId="5101DD7C" w14:textId="77777777" w:rsidTr="00C21FEC">
        <w:trPr>
          <w:trHeight w:hRule="exact" w:val="300"/>
        </w:trPr>
        <w:tc>
          <w:tcPr>
            <w:tcW w:w="1985" w:type="dxa"/>
            <w:shd w:val="clear" w:color="auto" w:fill="auto"/>
            <w:noWrap/>
            <w:vAlign w:val="bottom"/>
            <w:hideMark/>
          </w:tcPr>
          <w:p w14:paraId="3E04AE03"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lang w:val="en-US"/>
              </w:rPr>
              <w:t xml:space="preserve">Vale of </w:t>
            </w:r>
            <w:proofErr w:type="spellStart"/>
            <w:r w:rsidRPr="000E117C">
              <w:rPr>
                <w:rFonts w:ascii="Verdana" w:hAnsi="Verdana"/>
                <w:i/>
                <w:iCs/>
                <w:color w:val="000000"/>
                <w:sz w:val="20"/>
                <w:szCs w:val="20"/>
                <w:lang w:val="en-US"/>
              </w:rPr>
              <w:t>Glamorgan</w:t>
            </w:r>
            <w:proofErr w:type="spellEnd"/>
          </w:p>
        </w:tc>
        <w:tc>
          <w:tcPr>
            <w:tcW w:w="940" w:type="dxa"/>
            <w:shd w:val="clear" w:color="auto" w:fill="auto"/>
            <w:noWrap/>
            <w:vAlign w:val="bottom"/>
            <w:hideMark/>
          </w:tcPr>
          <w:p w14:paraId="549475A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96.4%</w:t>
            </w:r>
          </w:p>
        </w:tc>
        <w:tc>
          <w:tcPr>
            <w:tcW w:w="930" w:type="dxa"/>
            <w:shd w:val="clear" w:color="auto" w:fill="auto"/>
            <w:noWrap/>
            <w:vAlign w:val="bottom"/>
            <w:hideMark/>
          </w:tcPr>
          <w:p w14:paraId="5E72ED0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1.3%</w:t>
            </w:r>
          </w:p>
        </w:tc>
        <w:tc>
          <w:tcPr>
            <w:tcW w:w="929" w:type="dxa"/>
            <w:shd w:val="clear" w:color="auto" w:fill="auto"/>
            <w:noWrap/>
            <w:vAlign w:val="bottom"/>
            <w:hideMark/>
          </w:tcPr>
          <w:p w14:paraId="79FBD91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1.6%</w:t>
            </w:r>
          </w:p>
        </w:tc>
        <w:tc>
          <w:tcPr>
            <w:tcW w:w="929" w:type="dxa"/>
            <w:shd w:val="clear" w:color="auto" w:fill="auto"/>
            <w:noWrap/>
            <w:vAlign w:val="bottom"/>
            <w:hideMark/>
          </w:tcPr>
          <w:p w14:paraId="4DC4465C"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0.4%</w:t>
            </w:r>
          </w:p>
        </w:tc>
        <w:tc>
          <w:tcPr>
            <w:tcW w:w="929" w:type="dxa"/>
            <w:shd w:val="clear" w:color="auto" w:fill="auto"/>
            <w:noWrap/>
            <w:vAlign w:val="bottom"/>
            <w:hideMark/>
          </w:tcPr>
          <w:p w14:paraId="7DCC0CC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0.3%</w:t>
            </w:r>
          </w:p>
        </w:tc>
        <w:tc>
          <w:tcPr>
            <w:tcW w:w="1075" w:type="dxa"/>
            <w:shd w:val="clear" w:color="auto" w:fill="auto"/>
            <w:noWrap/>
            <w:vAlign w:val="bottom"/>
            <w:hideMark/>
          </w:tcPr>
          <w:p w14:paraId="181290C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1B48C03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126,336</w:t>
            </w:r>
          </w:p>
        </w:tc>
      </w:tr>
      <w:tr w:rsidR="00425C74" w:rsidRPr="000E117C" w14:paraId="25A578EC" w14:textId="77777777" w:rsidTr="00C21FEC">
        <w:trPr>
          <w:trHeight w:hRule="exact" w:val="300"/>
        </w:trPr>
        <w:tc>
          <w:tcPr>
            <w:tcW w:w="1985" w:type="dxa"/>
            <w:shd w:val="clear" w:color="auto" w:fill="auto"/>
            <w:noWrap/>
            <w:vAlign w:val="bottom"/>
            <w:hideMark/>
          </w:tcPr>
          <w:p w14:paraId="4F9AB50A"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lang w:val="en-US"/>
              </w:rPr>
              <w:t>Cardiff</w:t>
            </w:r>
          </w:p>
        </w:tc>
        <w:tc>
          <w:tcPr>
            <w:tcW w:w="940" w:type="dxa"/>
            <w:shd w:val="clear" w:color="auto" w:fill="auto"/>
            <w:noWrap/>
            <w:vAlign w:val="bottom"/>
            <w:hideMark/>
          </w:tcPr>
          <w:p w14:paraId="7D20160C"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84.7%</w:t>
            </w:r>
          </w:p>
        </w:tc>
        <w:tc>
          <w:tcPr>
            <w:tcW w:w="930" w:type="dxa"/>
            <w:shd w:val="clear" w:color="auto" w:fill="auto"/>
            <w:noWrap/>
            <w:vAlign w:val="bottom"/>
            <w:hideMark/>
          </w:tcPr>
          <w:p w14:paraId="52FACD4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2.9%</w:t>
            </w:r>
          </w:p>
        </w:tc>
        <w:tc>
          <w:tcPr>
            <w:tcW w:w="929" w:type="dxa"/>
            <w:shd w:val="clear" w:color="auto" w:fill="auto"/>
            <w:noWrap/>
            <w:vAlign w:val="bottom"/>
            <w:hideMark/>
          </w:tcPr>
          <w:p w14:paraId="7AA1436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8.1%</w:t>
            </w:r>
          </w:p>
        </w:tc>
        <w:tc>
          <w:tcPr>
            <w:tcW w:w="929" w:type="dxa"/>
            <w:shd w:val="clear" w:color="auto" w:fill="auto"/>
            <w:noWrap/>
            <w:vAlign w:val="bottom"/>
            <w:hideMark/>
          </w:tcPr>
          <w:p w14:paraId="17A3ABE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2.4%</w:t>
            </w:r>
          </w:p>
        </w:tc>
        <w:tc>
          <w:tcPr>
            <w:tcW w:w="929" w:type="dxa"/>
            <w:shd w:val="clear" w:color="auto" w:fill="auto"/>
            <w:noWrap/>
            <w:vAlign w:val="bottom"/>
            <w:hideMark/>
          </w:tcPr>
          <w:p w14:paraId="7D0561C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2.0%</w:t>
            </w:r>
          </w:p>
        </w:tc>
        <w:tc>
          <w:tcPr>
            <w:tcW w:w="1075" w:type="dxa"/>
            <w:shd w:val="clear" w:color="auto" w:fill="auto"/>
            <w:noWrap/>
            <w:vAlign w:val="bottom"/>
            <w:hideMark/>
          </w:tcPr>
          <w:p w14:paraId="5283F77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2BBA504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346,090</w:t>
            </w:r>
          </w:p>
        </w:tc>
      </w:tr>
      <w:tr w:rsidR="00425C74" w:rsidRPr="000E117C" w14:paraId="1CC8F408" w14:textId="77777777" w:rsidTr="00C21FEC">
        <w:trPr>
          <w:trHeight w:hRule="exact" w:val="300"/>
        </w:trPr>
        <w:tc>
          <w:tcPr>
            <w:tcW w:w="1985" w:type="dxa"/>
            <w:shd w:val="clear" w:color="auto" w:fill="auto"/>
            <w:noWrap/>
            <w:vAlign w:val="bottom"/>
            <w:hideMark/>
          </w:tcPr>
          <w:p w14:paraId="581CCF1F"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Cwm Taf</w:t>
            </w:r>
          </w:p>
        </w:tc>
        <w:tc>
          <w:tcPr>
            <w:tcW w:w="940" w:type="dxa"/>
            <w:shd w:val="clear" w:color="auto" w:fill="auto"/>
            <w:noWrap/>
            <w:vAlign w:val="bottom"/>
            <w:hideMark/>
          </w:tcPr>
          <w:p w14:paraId="6442CCD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97.4%</w:t>
            </w:r>
          </w:p>
        </w:tc>
        <w:tc>
          <w:tcPr>
            <w:tcW w:w="930" w:type="dxa"/>
            <w:shd w:val="clear" w:color="auto" w:fill="auto"/>
            <w:noWrap/>
            <w:vAlign w:val="bottom"/>
            <w:hideMark/>
          </w:tcPr>
          <w:p w14:paraId="71B992F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0.7%</w:t>
            </w:r>
          </w:p>
        </w:tc>
        <w:tc>
          <w:tcPr>
            <w:tcW w:w="929" w:type="dxa"/>
            <w:shd w:val="clear" w:color="auto" w:fill="auto"/>
            <w:noWrap/>
            <w:vAlign w:val="bottom"/>
            <w:hideMark/>
          </w:tcPr>
          <w:p w14:paraId="7747404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1.3%</w:t>
            </w:r>
          </w:p>
        </w:tc>
        <w:tc>
          <w:tcPr>
            <w:tcW w:w="929" w:type="dxa"/>
            <w:shd w:val="clear" w:color="auto" w:fill="auto"/>
            <w:noWrap/>
            <w:vAlign w:val="bottom"/>
            <w:hideMark/>
          </w:tcPr>
          <w:p w14:paraId="0378DEA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0.5%</w:t>
            </w:r>
          </w:p>
        </w:tc>
        <w:tc>
          <w:tcPr>
            <w:tcW w:w="929" w:type="dxa"/>
            <w:shd w:val="clear" w:color="auto" w:fill="auto"/>
            <w:noWrap/>
            <w:vAlign w:val="bottom"/>
            <w:hideMark/>
          </w:tcPr>
          <w:p w14:paraId="4F02427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0.1%</w:t>
            </w:r>
          </w:p>
        </w:tc>
        <w:tc>
          <w:tcPr>
            <w:tcW w:w="1075" w:type="dxa"/>
            <w:shd w:val="clear" w:color="auto" w:fill="auto"/>
            <w:noWrap/>
            <w:vAlign w:val="bottom"/>
            <w:hideMark/>
          </w:tcPr>
          <w:p w14:paraId="24BCF05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100.0%</w:t>
            </w:r>
          </w:p>
        </w:tc>
        <w:tc>
          <w:tcPr>
            <w:tcW w:w="1309" w:type="dxa"/>
            <w:shd w:val="clear" w:color="auto" w:fill="auto"/>
            <w:noWrap/>
            <w:vAlign w:val="bottom"/>
            <w:hideMark/>
          </w:tcPr>
          <w:p w14:paraId="7F5C8E3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293,212</w:t>
            </w:r>
          </w:p>
        </w:tc>
      </w:tr>
      <w:tr w:rsidR="00425C74" w:rsidRPr="000E117C" w14:paraId="30760522" w14:textId="77777777" w:rsidTr="00C21FEC">
        <w:trPr>
          <w:trHeight w:hRule="exact" w:val="300"/>
        </w:trPr>
        <w:tc>
          <w:tcPr>
            <w:tcW w:w="1985" w:type="dxa"/>
            <w:shd w:val="clear" w:color="auto" w:fill="auto"/>
            <w:noWrap/>
            <w:vAlign w:val="bottom"/>
            <w:hideMark/>
          </w:tcPr>
          <w:p w14:paraId="644689C8"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0"/>
                <w:lang w:val="en-US"/>
              </w:rPr>
              <w:t>Rhondda Cynon Taf</w:t>
            </w:r>
          </w:p>
        </w:tc>
        <w:tc>
          <w:tcPr>
            <w:tcW w:w="940" w:type="dxa"/>
            <w:shd w:val="clear" w:color="auto" w:fill="auto"/>
            <w:noWrap/>
            <w:vAlign w:val="bottom"/>
            <w:hideMark/>
          </w:tcPr>
          <w:p w14:paraId="0120A45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97.4%</w:t>
            </w:r>
          </w:p>
        </w:tc>
        <w:tc>
          <w:tcPr>
            <w:tcW w:w="930" w:type="dxa"/>
            <w:shd w:val="clear" w:color="auto" w:fill="auto"/>
            <w:noWrap/>
            <w:vAlign w:val="bottom"/>
            <w:hideMark/>
          </w:tcPr>
          <w:p w14:paraId="5C4C3EB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0.6%</w:t>
            </w:r>
          </w:p>
        </w:tc>
        <w:tc>
          <w:tcPr>
            <w:tcW w:w="929" w:type="dxa"/>
            <w:shd w:val="clear" w:color="auto" w:fill="auto"/>
            <w:noWrap/>
            <w:vAlign w:val="bottom"/>
            <w:hideMark/>
          </w:tcPr>
          <w:p w14:paraId="740DFDE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1.3%</w:t>
            </w:r>
          </w:p>
        </w:tc>
        <w:tc>
          <w:tcPr>
            <w:tcW w:w="929" w:type="dxa"/>
            <w:shd w:val="clear" w:color="auto" w:fill="auto"/>
            <w:noWrap/>
            <w:vAlign w:val="bottom"/>
            <w:hideMark/>
          </w:tcPr>
          <w:p w14:paraId="57D2073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0.6%</w:t>
            </w:r>
          </w:p>
        </w:tc>
        <w:tc>
          <w:tcPr>
            <w:tcW w:w="929" w:type="dxa"/>
            <w:shd w:val="clear" w:color="auto" w:fill="auto"/>
            <w:noWrap/>
            <w:vAlign w:val="bottom"/>
            <w:hideMark/>
          </w:tcPr>
          <w:p w14:paraId="2F6BBEB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0.1%</w:t>
            </w:r>
          </w:p>
        </w:tc>
        <w:tc>
          <w:tcPr>
            <w:tcW w:w="1075" w:type="dxa"/>
            <w:shd w:val="clear" w:color="auto" w:fill="auto"/>
            <w:noWrap/>
            <w:vAlign w:val="bottom"/>
            <w:hideMark/>
          </w:tcPr>
          <w:p w14:paraId="537F73D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5B8C4D15"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234,410</w:t>
            </w:r>
          </w:p>
        </w:tc>
      </w:tr>
      <w:tr w:rsidR="00425C74" w:rsidRPr="000E117C" w14:paraId="4B640F1E" w14:textId="77777777" w:rsidTr="00C21FEC">
        <w:trPr>
          <w:trHeight w:hRule="exact" w:val="300"/>
        </w:trPr>
        <w:tc>
          <w:tcPr>
            <w:tcW w:w="1985" w:type="dxa"/>
            <w:shd w:val="clear" w:color="auto" w:fill="auto"/>
            <w:noWrap/>
            <w:vAlign w:val="bottom"/>
            <w:hideMark/>
          </w:tcPr>
          <w:p w14:paraId="3AAFAF69"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0"/>
                <w:lang w:val="en-US"/>
              </w:rPr>
              <w:t>Merthyr</w:t>
            </w:r>
            <w:proofErr w:type="spellEnd"/>
            <w:r w:rsidRPr="000E117C">
              <w:rPr>
                <w:rFonts w:ascii="Verdana" w:hAnsi="Verdana"/>
                <w:i/>
                <w:iCs/>
                <w:color w:val="000000"/>
                <w:sz w:val="20"/>
                <w:szCs w:val="20"/>
                <w:lang w:val="en-US"/>
              </w:rPr>
              <w:t xml:space="preserve"> </w:t>
            </w:r>
            <w:proofErr w:type="spellStart"/>
            <w:r w:rsidRPr="000E117C">
              <w:rPr>
                <w:rFonts w:ascii="Verdana" w:hAnsi="Verdana"/>
                <w:i/>
                <w:iCs/>
                <w:color w:val="000000"/>
                <w:sz w:val="20"/>
                <w:szCs w:val="20"/>
                <w:lang w:val="en-US"/>
              </w:rPr>
              <w:t>Tydfil</w:t>
            </w:r>
            <w:proofErr w:type="spellEnd"/>
          </w:p>
        </w:tc>
        <w:tc>
          <w:tcPr>
            <w:tcW w:w="940" w:type="dxa"/>
            <w:shd w:val="clear" w:color="auto" w:fill="auto"/>
            <w:noWrap/>
            <w:vAlign w:val="bottom"/>
            <w:hideMark/>
          </w:tcPr>
          <w:p w14:paraId="00E9229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97.6%</w:t>
            </w:r>
          </w:p>
        </w:tc>
        <w:tc>
          <w:tcPr>
            <w:tcW w:w="930" w:type="dxa"/>
            <w:shd w:val="clear" w:color="auto" w:fill="auto"/>
            <w:noWrap/>
            <w:vAlign w:val="bottom"/>
            <w:hideMark/>
          </w:tcPr>
          <w:p w14:paraId="0AE1C83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0.8%</w:t>
            </w:r>
          </w:p>
        </w:tc>
        <w:tc>
          <w:tcPr>
            <w:tcW w:w="929" w:type="dxa"/>
            <w:shd w:val="clear" w:color="auto" w:fill="auto"/>
            <w:noWrap/>
            <w:vAlign w:val="bottom"/>
            <w:hideMark/>
          </w:tcPr>
          <w:p w14:paraId="12CA9E0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1.2%</w:t>
            </w:r>
          </w:p>
        </w:tc>
        <w:tc>
          <w:tcPr>
            <w:tcW w:w="929" w:type="dxa"/>
            <w:shd w:val="clear" w:color="auto" w:fill="auto"/>
            <w:noWrap/>
            <w:vAlign w:val="bottom"/>
            <w:hideMark/>
          </w:tcPr>
          <w:p w14:paraId="021D52CB"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0.2%</w:t>
            </w:r>
          </w:p>
        </w:tc>
        <w:tc>
          <w:tcPr>
            <w:tcW w:w="929" w:type="dxa"/>
            <w:shd w:val="clear" w:color="auto" w:fill="auto"/>
            <w:noWrap/>
            <w:vAlign w:val="bottom"/>
            <w:hideMark/>
          </w:tcPr>
          <w:p w14:paraId="39FDE23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0.2%</w:t>
            </w:r>
          </w:p>
        </w:tc>
        <w:tc>
          <w:tcPr>
            <w:tcW w:w="1075" w:type="dxa"/>
            <w:shd w:val="clear" w:color="auto" w:fill="auto"/>
            <w:noWrap/>
            <w:vAlign w:val="bottom"/>
            <w:hideMark/>
          </w:tcPr>
          <w:p w14:paraId="5BDC3D7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100.0%</w:t>
            </w:r>
          </w:p>
        </w:tc>
        <w:tc>
          <w:tcPr>
            <w:tcW w:w="1309" w:type="dxa"/>
            <w:shd w:val="clear" w:color="auto" w:fill="auto"/>
            <w:noWrap/>
            <w:vAlign w:val="bottom"/>
            <w:hideMark/>
          </w:tcPr>
          <w:p w14:paraId="2B2F29D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0"/>
                <w:lang w:val="en-US"/>
              </w:rPr>
              <w:t>58,802</w:t>
            </w:r>
          </w:p>
        </w:tc>
      </w:tr>
      <w:tr w:rsidR="00425C74" w:rsidRPr="000E117C" w14:paraId="427751EC" w14:textId="77777777" w:rsidTr="00C21FEC">
        <w:trPr>
          <w:trHeight w:hRule="exact" w:val="300"/>
        </w:trPr>
        <w:tc>
          <w:tcPr>
            <w:tcW w:w="1985" w:type="dxa"/>
            <w:shd w:val="clear" w:color="auto" w:fill="auto"/>
            <w:noWrap/>
            <w:vAlign w:val="bottom"/>
            <w:hideMark/>
          </w:tcPr>
          <w:p w14:paraId="58A4C3B8"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Powys</w:t>
            </w:r>
          </w:p>
        </w:tc>
        <w:tc>
          <w:tcPr>
            <w:tcW w:w="940" w:type="dxa"/>
            <w:shd w:val="clear" w:color="auto" w:fill="auto"/>
            <w:noWrap/>
            <w:vAlign w:val="bottom"/>
            <w:hideMark/>
          </w:tcPr>
          <w:p w14:paraId="43F5512C"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98.4%</w:t>
            </w:r>
          </w:p>
        </w:tc>
        <w:tc>
          <w:tcPr>
            <w:tcW w:w="930" w:type="dxa"/>
            <w:shd w:val="clear" w:color="auto" w:fill="auto"/>
            <w:noWrap/>
            <w:vAlign w:val="bottom"/>
            <w:hideMark/>
          </w:tcPr>
          <w:p w14:paraId="3537CAF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0.6%</w:t>
            </w:r>
          </w:p>
        </w:tc>
        <w:tc>
          <w:tcPr>
            <w:tcW w:w="929" w:type="dxa"/>
            <w:shd w:val="clear" w:color="auto" w:fill="auto"/>
            <w:noWrap/>
            <w:vAlign w:val="bottom"/>
            <w:hideMark/>
          </w:tcPr>
          <w:p w14:paraId="3872589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0.9%</w:t>
            </w:r>
          </w:p>
        </w:tc>
        <w:tc>
          <w:tcPr>
            <w:tcW w:w="929" w:type="dxa"/>
            <w:shd w:val="clear" w:color="auto" w:fill="auto"/>
            <w:noWrap/>
            <w:vAlign w:val="bottom"/>
            <w:hideMark/>
          </w:tcPr>
          <w:p w14:paraId="15BDAA85"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0.1%</w:t>
            </w:r>
          </w:p>
        </w:tc>
        <w:tc>
          <w:tcPr>
            <w:tcW w:w="929" w:type="dxa"/>
            <w:shd w:val="clear" w:color="auto" w:fill="auto"/>
            <w:noWrap/>
            <w:vAlign w:val="bottom"/>
            <w:hideMark/>
          </w:tcPr>
          <w:p w14:paraId="284367F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0.1%</w:t>
            </w:r>
          </w:p>
        </w:tc>
        <w:tc>
          <w:tcPr>
            <w:tcW w:w="1075" w:type="dxa"/>
            <w:shd w:val="clear" w:color="auto" w:fill="auto"/>
            <w:noWrap/>
            <w:vAlign w:val="bottom"/>
            <w:hideMark/>
          </w:tcPr>
          <w:p w14:paraId="3CF92D2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100.0%</w:t>
            </w:r>
          </w:p>
        </w:tc>
        <w:tc>
          <w:tcPr>
            <w:tcW w:w="1309" w:type="dxa"/>
            <w:shd w:val="clear" w:color="auto" w:fill="auto"/>
            <w:noWrap/>
            <w:vAlign w:val="bottom"/>
            <w:hideMark/>
          </w:tcPr>
          <w:p w14:paraId="3E46F023"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132,976</w:t>
            </w:r>
          </w:p>
        </w:tc>
      </w:tr>
      <w:tr w:rsidR="00425C74" w:rsidRPr="000E117C" w14:paraId="148769C0" w14:textId="77777777" w:rsidTr="00C21FEC">
        <w:trPr>
          <w:trHeight w:hRule="exact" w:val="300"/>
        </w:trPr>
        <w:tc>
          <w:tcPr>
            <w:tcW w:w="1985" w:type="dxa"/>
            <w:shd w:val="clear" w:color="auto" w:fill="auto"/>
            <w:noWrap/>
            <w:vAlign w:val="bottom"/>
            <w:hideMark/>
          </w:tcPr>
          <w:p w14:paraId="768E9117" w14:textId="77777777" w:rsidR="00425C74" w:rsidRPr="000E117C" w:rsidRDefault="00425C74" w:rsidP="00425C74">
            <w:pPr>
              <w:rPr>
                <w:rFonts w:ascii="Verdana" w:hAnsi="Verdana"/>
                <w:b/>
                <w:bCs/>
                <w:color w:val="000000"/>
                <w:sz w:val="20"/>
                <w:szCs w:val="20"/>
              </w:rPr>
            </w:pPr>
            <w:r w:rsidRPr="000E117C">
              <w:rPr>
                <w:rFonts w:ascii="Verdana" w:hAnsi="Verdana"/>
                <w:b/>
                <w:bCs/>
                <w:color w:val="000000"/>
                <w:sz w:val="20"/>
                <w:szCs w:val="20"/>
                <w:lang w:val="en-US"/>
              </w:rPr>
              <w:t>Area affected*</w:t>
            </w:r>
          </w:p>
        </w:tc>
        <w:tc>
          <w:tcPr>
            <w:tcW w:w="940" w:type="dxa"/>
            <w:shd w:val="clear" w:color="auto" w:fill="auto"/>
            <w:noWrap/>
            <w:vAlign w:val="bottom"/>
            <w:hideMark/>
          </w:tcPr>
          <w:p w14:paraId="56610EB3"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rPr>
              <w:t>93.7%</w:t>
            </w:r>
          </w:p>
        </w:tc>
        <w:tc>
          <w:tcPr>
            <w:tcW w:w="930" w:type="dxa"/>
            <w:shd w:val="clear" w:color="auto" w:fill="auto"/>
            <w:noWrap/>
            <w:vAlign w:val="bottom"/>
            <w:hideMark/>
          </w:tcPr>
          <w:p w14:paraId="647DBFDE"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lang w:val="en-US"/>
              </w:rPr>
              <w:t>1.4%</w:t>
            </w:r>
          </w:p>
        </w:tc>
        <w:tc>
          <w:tcPr>
            <w:tcW w:w="929" w:type="dxa"/>
            <w:shd w:val="clear" w:color="auto" w:fill="auto"/>
            <w:noWrap/>
            <w:vAlign w:val="bottom"/>
            <w:hideMark/>
          </w:tcPr>
          <w:p w14:paraId="4736957E"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lang w:val="en-US"/>
              </w:rPr>
              <w:t>3.2%</w:t>
            </w:r>
          </w:p>
        </w:tc>
        <w:tc>
          <w:tcPr>
            <w:tcW w:w="929" w:type="dxa"/>
            <w:shd w:val="clear" w:color="auto" w:fill="auto"/>
            <w:noWrap/>
            <w:vAlign w:val="bottom"/>
            <w:hideMark/>
          </w:tcPr>
          <w:p w14:paraId="1411E78E"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lang w:val="en-US"/>
              </w:rPr>
              <w:t>0.9%</w:t>
            </w:r>
          </w:p>
        </w:tc>
        <w:tc>
          <w:tcPr>
            <w:tcW w:w="929" w:type="dxa"/>
            <w:shd w:val="clear" w:color="auto" w:fill="auto"/>
            <w:noWrap/>
            <w:vAlign w:val="bottom"/>
            <w:hideMark/>
          </w:tcPr>
          <w:p w14:paraId="0DECF1D4"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lang w:val="en-US"/>
              </w:rPr>
              <w:t>0.7%</w:t>
            </w:r>
          </w:p>
        </w:tc>
        <w:tc>
          <w:tcPr>
            <w:tcW w:w="1075" w:type="dxa"/>
            <w:shd w:val="clear" w:color="auto" w:fill="auto"/>
            <w:noWrap/>
            <w:vAlign w:val="bottom"/>
            <w:hideMark/>
          </w:tcPr>
          <w:p w14:paraId="5606112E"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lang w:val="en-US"/>
              </w:rPr>
              <w:t>100.0%</w:t>
            </w:r>
          </w:p>
        </w:tc>
        <w:tc>
          <w:tcPr>
            <w:tcW w:w="1309" w:type="dxa"/>
            <w:shd w:val="clear" w:color="auto" w:fill="auto"/>
            <w:noWrap/>
            <w:vAlign w:val="bottom"/>
            <w:hideMark/>
          </w:tcPr>
          <w:p w14:paraId="41CDF045" w14:textId="77777777" w:rsidR="00425C74" w:rsidRPr="000E117C" w:rsidRDefault="00425C74" w:rsidP="00425C74">
            <w:pPr>
              <w:jc w:val="right"/>
              <w:rPr>
                <w:rFonts w:ascii="Verdana" w:hAnsi="Verdana"/>
                <w:b/>
                <w:bCs/>
                <w:color w:val="000000"/>
                <w:sz w:val="20"/>
                <w:szCs w:val="20"/>
              </w:rPr>
            </w:pPr>
            <w:r w:rsidRPr="000E117C">
              <w:rPr>
                <w:rFonts w:ascii="Verdana" w:hAnsi="Verdana"/>
                <w:b/>
                <w:bCs/>
                <w:color w:val="000000"/>
                <w:sz w:val="20"/>
                <w:szCs w:val="20"/>
              </w:rPr>
              <w:t>1,408,880</w:t>
            </w:r>
          </w:p>
        </w:tc>
      </w:tr>
      <w:tr w:rsidR="00425C74" w:rsidRPr="000E117C" w14:paraId="0B510FF3" w14:textId="77777777" w:rsidTr="00C21FEC">
        <w:trPr>
          <w:trHeight w:hRule="exact" w:val="300"/>
        </w:trPr>
        <w:tc>
          <w:tcPr>
            <w:tcW w:w="1985" w:type="dxa"/>
            <w:shd w:val="clear" w:color="auto" w:fill="auto"/>
            <w:noWrap/>
            <w:vAlign w:val="bottom"/>
            <w:hideMark/>
          </w:tcPr>
          <w:p w14:paraId="29F0A6B2"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0"/>
                <w:lang w:val="en-US"/>
              </w:rPr>
              <w:t>Wales</w:t>
            </w:r>
          </w:p>
        </w:tc>
        <w:tc>
          <w:tcPr>
            <w:tcW w:w="940" w:type="dxa"/>
            <w:shd w:val="clear" w:color="auto" w:fill="auto"/>
            <w:noWrap/>
            <w:vAlign w:val="bottom"/>
            <w:hideMark/>
          </w:tcPr>
          <w:p w14:paraId="1037BA2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95.6%</w:t>
            </w:r>
          </w:p>
        </w:tc>
        <w:tc>
          <w:tcPr>
            <w:tcW w:w="930" w:type="dxa"/>
            <w:shd w:val="clear" w:color="auto" w:fill="auto"/>
            <w:noWrap/>
            <w:vAlign w:val="bottom"/>
            <w:hideMark/>
          </w:tcPr>
          <w:p w14:paraId="44EC580F"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w:t>
            </w:r>
          </w:p>
        </w:tc>
        <w:tc>
          <w:tcPr>
            <w:tcW w:w="929" w:type="dxa"/>
            <w:shd w:val="clear" w:color="auto" w:fill="auto"/>
            <w:noWrap/>
            <w:vAlign w:val="bottom"/>
            <w:hideMark/>
          </w:tcPr>
          <w:p w14:paraId="39FB09A5"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2.3%</w:t>
            </w:r>
          </w:p>
        </w:tc>
        <w:tc>
          <w:tcPr>
            <w:tcW w:w="929" w:type="dxa"/>
            <w:shd w:val="clear" w:color="auto" w:fill="auto"/>
            <w:noWrap/>
            <w:vAlign w:val="bottom"/>
            <w:hideMark/>
          </w:tcPr>
          <w:p w14:paraId="6EADE2BE"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0.6%</w:t>
            </w:r>
          </w:p>
        </w:tc>
        <w:tc>
          <w:tcPr>
            <w:tcW w:w="929" w:type="dxa"/>
            <w:shd w:val="clear" w:color="auto" w:fill="auto"/>
            <w:noWrap/>
            <w:vAlign w:val="bottom"/>
            <w:hideMark/>
          </w:tcPr>
          <w:p w14:paraId="1FE0912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0.5%</w:t>
            </w:r>
          </w:p>
        </w:tc>
        <w:tc>
          <w:tcPr>
            <w:tcW w:w="1075" w:type="dxa"/>
            <w:shd w:val="clear" w:color="auto" w:fill="auto"/>
            <w:noWrap/>
            <w:vAlign w:val="bottom"/>
            <w:hideMark/>
          </w:tcPr>
          <w:p w14:paraId="052C6D7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100.0%</w:t>
            </w:r>
          </w:p>
        </w:tc>
        <w:tc>
          <w:tcPr>
            <w:tcW w:w="1309" w:type="dxa"/>
            <w:shd w:val="clear" w:color="auto" w:fill="auto"/>
            <w:noWrap/>
            <w:vAlign w:val="bottom"/>
            <w:hideMark/>
          </w:tcPr>
          <w:p w14:paraId="146F425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lang w:val="en-US"/>
              </w:rPr>
              <w:t>3,063,456</w:t>
            </w:r>
          </w:p>
        </w:tc>
      </w:tr>
    </w:tbl>
    <w:p w14:paraId="3FDD98EC" w14:textId="77777777" w:rsidR="00425C74" w:rsidRPr="000E117C" w:rsidRDefault="00425C74" w:rsidP="00425C74">
      <w:pPr>
        <w:rPr>
          <w:rFonts w:ascii="Verdana" w:hAnsi="Verdana" w:cs="Arial"/>
        </w:rPr>
      </w:pPr>
    </w:p>
    <w:p w14:paraId="33405FB1" w14:textId="77777777" w:rsidR="00754141" w:rsidRDefault="00754141" w:rsidP="003477E6">
      <w:pPr>
        <w:jc w:val="both"/>
        <w:rPr>
          <w:rFonts w:ascii="Merriweather Sans" w:hAnsi="Merriweather Sans"/>
          <w:color w:val="676767"/>
          <w:sz w:val="27"/>
          <w:szCs w:val="27"/>
          <w:shd w:val="clear" w:color="auto" w:fill="FFFFFF"/>
        </w:rPr>
      </w:pPr>
    </w:p>
    <w:p w14:paraId="47A3C77E" w14:textId="77777777" w:rsidR="00787E23" w:rsidRDefault="00787E23" w:rsidP="00787E23">
      <w:pPr>
        <w:rPr>
          <w:rFonts w:ascii="Verdana" w:hAnsi="Verdana" w:cs="Arial"/>
          <w:b/>
        </w:rPr>
      </w:pPr>
      <w:r w:rsidRPr="000E117C">
        <w:rPr>
          <w:rFonts w:ascii="Verdana" w:hAnsi="Verdana" w:cs="Arial"/>
          <w:b/>
        </w:rPr>
        <w:t>Marriage and Civil Partnership</w:t>
      </w:r>
    </w:p>
    <w:p w14:paraId="7128FD78" w14:textId="77777777" w:rsidR="00787E23" w:rsidRDefault="00787E23" w:rsidP="00787E23">
      <w:pPr>
        <w:spacing w:before="100" w:beforeAutospacing="1" w:after="100" w:afterAutospacing="1"/>
        <w:jc w:val="both"/>
        <w:rPr>
          <w:rFonts w:ascii="Verdana" w:hAnsi="Verdana"/>
          <w:color w:val="000000"/>
        </w:rPr>
      </w:pPr>
      <w:r w:rsidRPr="00787E23">
        <w:rPr>
          <w:rFonts w:ascii="Verdana" w:hAnsi="Verdana"/>
          <w:color w:val="000000"/>
        </w:rPr>
        <w:t xml:space="preserve">The proposed relocation </w:t>
      </w:r>
      <w:r w:rsidR="00D8314F">
        <w:rPr>
          <w:rFonts w:ascii="Verdana" w:hAnsi="Verdana"/>
          <w:color w:val="000000"/>
        </w:rPr>
        <w:t>to a central single implantable device hub</w:t>
      </w:r>
      <w:r w:rsidR="00D8314F" w:rsidRPr="00F57998">
        <w:rPr>
          <w:rFonts w:ascii="Verdana" w:hAnsi="Verdana"/>
          <w:color w:val="000000"/>
        </w:rPr>
        <w:t xml:space="preserve"> </w:t>
      </w:r>
      <w:r w:rsidRPr="00787E23">
        <w:rPr>
          <w:rFonts w:ascii="Verdana" w:hAnsi="Verdana"/>
          <w:color w:val="000000"/>
        </w:rPr>
        <w:t xml:space="preserve">is not considered to have any significant likely impact on patients based on their </w:t>
      </w:r>
      <w:r w:rsidR="00D11529">
        <w:rPr>
          <w:rFonts w:ascii="Verdana" w:hAnsi="Verdana"/>
          <w:color w:val="000000"/>
        </w:rPr>
        <w:t xml:space="preserve">status of </w:t>
      </w:r>
      <w:r w:rsidRPr="00787E23">
        <w:rPr>
          <w:rFonts w:ascii="Verdana" w:hAnsi="Verdana"/>
          <w:color w:val="000000"/>
        </w:rPr>
        <w:t xml:space="preserve">marriage </w:t>
      </w:r>
      <w:r w:rsidR="00D11529">
        <w:rPr>
          <w:rFonts w:ascii="Verdana" w:hAnsi="Verdana"/>
          <w:color w:val="000000"/>
        </w:rPr>
        <w:t>or civil partnership</w:t>
      </w:r>
      <w:r w:rsidRPr="00787E23">
        <w:rPr>
          <w:rFonts w:ascii="Verdana" w:hAnsi="Verdana"/>
          <w:color w:val="000000"/>
        </w:rPr>
        <w:t>.</w:t>
      </w:r>
    </w:p>
    <w:p w14:paraId="4C90D67C" w14:textId="77777777" w:rsidR="00F57998" w:rsidRDefault="00787E23" w:rsidP="00EC4A66">
      <w:pPr>
        <w:rPr>
          <w:rFonts w:ascii="Verdana" w:hAnsi="Verdana" w:cs="Arial"/>
        </w:rPr>
      </w:pPr>
      <w:r w:rsidRPr="000E117C">
        <w:rPr>
          <w:rFonts w:ascii="Verdana" w:hAnsi="Verdana" w:cs="Arial"/>
          <w:b/>
        </w:rPr>
        <w:t>Pregnancy and Maternity</w:t>
      </w:r>
    </w:p>
    <w:p w14:paraId="6B81307B" w14:textId="77777777" w:rsidR="00F57998" w:rsidRPr="00996F3E" w:rsidRDefault="00F57998" w:rsidP="00996F3E">
      <w:pPr>
        <w:spacing w:before="100" w:beforeAutospacing="1" w:after="100" w:afterAutospacing="1"/>
        <w:jc w:val="both"/>
        <w:rPr>
          <w:rFonts w:ascii="Verdana" w:hAnsi="Verdana"/>
          <w:color w:val="000000"/>
        </w:rPr>
      </w:pPr>
      <w:r w:rsidRPr="00EC4A66">
        <w:rPr>
          <w:rFonts w:ascii="Verdana" w:hAnsi="Verdana"/>
          <w:color w:val="000000"/>
        </w:rPr>
        <w:t xml:space="preserve">The proposed </w:t>
      </w:r>
      <w:r w:rsidR="00D8314F">
        <w:rPr>
          <w:rFonts w:ascii="Verdana" w:hAnsi="Verdana"/>
          <w:color w:val="000000"/>
        </w:rPr>
        <w:t>relocation to a central single implantable device hub</w:t>
      </w:r>
      <w:r w:rsidR="00D8314F" w:rsidRPr="00F57998">
        <w:rPr>
          <w:rFonts w:ascii="Verdana" w:hAnsi="Verdana"/>
          <w:color w:val="000000"/>
        </w:rPr>
        <w:t xml:space="preserve"> </w:t>
      </w:r>
      <w:r w:rsidRPr="00EC4A66">
        <w:rPr>
          <w:rFonts w:ascii="Verdana" w:hAnsi="Verdana"/>
          <w:color w:val="000000"/>
        </w:rPr>
        <w:t>is not considered to have any significant likely impact on patients base</w:t>
      </w:r>
      <w:r>
        <w:rPr>
          <w:rFonts w:ascii="Verdana" w:hAnsi="Verdana"/>
          <w:color w:val="000000"/>
        </w:rPr>
        <w:t>d on pregnancy and maternity</w:t>
      </w:r>
      <w:r w:rsidR="00996F3E">
        <w:rPr>
          <w:rFonts w:ascii="Verdana" w:hAnsi="Verdana"/>
          <w:color w:val="000000"/>
        </w:rPr>
        <w:t>.</w:t>
      </w:r>
    </w:p>
    <w:p w14:paraId="562DCBEE" w14:textId="77777777" w:rsidR="00B94373" w:rsidRDefault="00B94373" w:rsidP="00EC4A66">
      <w:pPr>
        <w:rPr>
          <w:rFonts w:ascii="Verdana" w:hAnsi="Verdana" w:cs="Arial"/>
          <w:b/>
        </w:rPr>
      </w:pPr>
    </w:p>
    <w:p w14:paraId="35F53D02" w14:textId="77777777" w:rsidR="00B94373" w:rsidRDefault="00B94373" w:rsidP="00EC4A66">
      <w:pPr>
        <w:rPr>
          <w:rFonts w:ascii="Verdana" w:hAnsi="Verdana" w:cs="Arial"/>
          <w:b/>
        </w:rPr>
      </w:pPr>
    </w:p>
    <w:p w14:paraId="1C323D83" w14:textId="77777777" w:rsidR="00EC4A66" w:rsidRDefault="00787E23" w:rsidP="00EC4A66">
      <w:pPr>
        <w:rPr>
          <w:rFonts w:ascii="Verdana" w:hAnsi="Verdana" w:cs="Arial"/>
          <w:b/>
        </w:rPr>
      </w:pPr>
      <w:r w:rsidRPr="000E117C">
        <w:rPr>
          <w:rFonts w:ascii="Verdana" w:hAnsi="Verdana" w:cs="Arial"/>
          <w:b/>
        </w:rPr>
        <w:lastRenderedPageBreak/>
        <w:t>Religion</w:t>
      </w:r>
    </w:p>
    <w:p w14:paraId="4E6E7E84" w14:textId="77777777" w:rsidR="00996F3E" w:rsidRDefault="00996F3E" w:rsidP="00EC4A66">
      <w:pPr>
        <w:rPr>
          <w:rFonts w:ascii="Verdana" w:hAnsi="Verdana" w:cs="Arial"/>
          <w:b/>
        </w:rPr>
      </w:pPr>
    </w:p>
    <w:p w14:paraId="7FF86311" w14:textId="77777777" w:rsidR="00996F3E" w:rsidRDefault="00996F3E" w:rsidP="00996F3E">
      <w:pPr>
        <w:jc w:val="both"/>
        <w:rPr>
          <w:rFonts w:ascii="Verdana" w:hAnsi="Verdana"/>
          <w:color w:val="2E2E2E"/>
        </w:rPr>
      </w:pPr>
      <w:r w:rsidRPr="007A706F">
        <w:rPr>
          <w:rFonts w:ascii="Verdana" w:hAnsi="Verdana"/>
          <w:color w:val="2E2E2E"/>
        </w:rPr>
        <w:t xml:space="preserve">Research indicates that patients and families rely on spirituality and religion to help them deal with serious physical illnesses, expressing a desire to have specific spiritual and religious needs and concerns acknowledged or addressed by medical staff. </w:t>
      </w:r>
    </w:p>
    <w:p w14:paraId="76FD9090" w14:textId="77777777" w:rsidR="00996F3E" w:rsidRPr="007A706F" w:rsidRDefault="00996F3E" w:rsidP="00996F3E">
      <w:pPr>
        <w:jc w:val="both"/>
        <w:rPr>
          <w:rFonts w:ascii="Verdana" w:hAnsi="Verdana" w:cs="Arial"/>
        </w:rPr>
      </w:pPr>
    </w:p>
    <w:p w14:paraId="789FDB38" w14:textId="77777777" w:rsidR="00996F3E" w:rsidRDefault="00996F3E" w:rsidP="00996F3E">
      <w:pPr>
        <w:jc w:val="both"/>
        <w:rPr>
          <w:rFonts w:ascii="Verdana" w:hAnsi="Verdana" w:cs="Arial"/>
        </w:rPr>
      </w:pPr>
      <w:r w:rsidRPr="007A706F">
        <w:rPr>
          <w:rFonts w:ascii="Verdana" w:hAnsi="Verdana" w:cs="Arial"/>
        </w:rPr>
        <w:t>It is important that services take cultural needs into account. Some BME groups have a strong reliance on spiritual belief and practice; this has important implications for the way</w:t>
      </w:r>
      <w:r>
        <w:rPr>
          <w:rFonts w:ascii="Verdana" w:hAnsi="Verdana" w:cs="Arial"/>
        </w:rPr>
        <w:t xml:space="preserve"> that they want to be cared for</w:t>
      </w:r>
      <w:r w:rsidRPr="007A706F">
        <w:rPr>
          <w:rFonts w:ascii="Verdana" w:hAnsi="Verdana" w:cs="Arial"/>
        </w:rPr>
        <w:t>.</w:t>
      </w:r>
    </w:p>
    <w:p w14:paraId="27A9FDBD" w14:textId="77777777" w:rsidR="00996F3E" w:rsidRDefault="00996F3E" w:rsidP="00996F3E">
      <w:pPr>
        <w:jc w:val="both"/>
        <w:rPr>
          <w:rFonts w:ascii="Verdana" w:hAnsi="Verdana" w:cs="Arial"/>
        </w:rPr>
      </w:pPr>
    </w:p>
    <w:p w14:paraId="3F780205" w14:textId="77777777" w:rsidR="00EC4A66" w:rsidRPr="00996F3E" w:rsidRDefault="00D8314F" w:rsidP="00996F3E">
      <w:pPr>
        <w:jc w:val="both"/>
        <w:rPr>
          <w:rFonts w:ascii="Verdana" w:hAnsi="Verdana" w:cs="Arial"/>
        </w:rPr>
      </w:pPr>
      <w:r>
        <w:rPr>
          <w:rFonts w:ascii="Verdana" w:hAnsi="Verdana"/>
          <w:color w:val="000000"/>
        </w:rPr>
        <w:t>The proposed relocation to a central single implantable device hub</w:t>
      </w:r>
      <w:r w:rsidRPr="00F57998">
        <w:rPr>
          <w:rFonts w:ascii="Verdana" w:hAnsi="Verdana"/>
          <w:color w:val="000000"/>
        </w:rPr>
        <w:t xml:space="preserve"> </w:t>
      </w:r>
      <w:r>
        <w:rPr>
          <w:rFonts w:ascii="Verdana" w:hAnsi="Verdana"/>
          <w:color w:val="000000"/>
        </w:rPr>
        <w:t>i</w:t>
      </w:r>
      <w:r w:rsidR="00EC4A66" w:rsidRPr="00EC4A66">
        <w:rPr>
          <w:rFonts w:ascii="Verdana" w:hAnsi="Verdana"/>
          <w:color w:val="000000"/>
        </w:rPr>
        <w:t>s not considered to have any significant likely impact on patients based on their religion.</w:t>
      </w:r>
    </w:p>
    <w:p w14:paraId="79F242CB" w14:textId="77777777" w:rsidR="00EC5242" w:rsidRDefault="00EC5242" w:rsidP="00787E23">
      <w:pPr>
        <w:spacing w:before="100" w:beforeAutospacing="1" w:after="100" w:afterAutospacing="1"/>
        <w:jc w:val="both"/>
        <w:rPr>
          <w:rFonts w:ascii="Verdana" w:hAnsi="Verdana" w:cs="Arial"/>
          <w:b/>
        </w:rPr>
      </w:pPr>
      <w:r>
        <w:rPr>
          <w:rFonts w:ascii="Verdana" w:hAnsi="Verdana" w:cs="Arial"/>
          <w:b/>
        </w:rPr>
        <w:t>Sexual Orientation</w:t>
      </w:r>
    </w:p>
    <w:p w14:paraId="5DF962CD" w14:textId="77777777" w:rsidR="00A82C60" w:rsidRDefault="00996F3E" w:rsidP="00787E23">
      <w:pPr>
        <w:spacing w:before="100" w:beforeAutospacing="1" w:after="100" w:afterAutospacing="1"/>
        <w:jc w:val="both"/>
        <w:rPr>
          <w:rFonts w:ascii="Verdana" w:hAnsi="Verdana"/>
          <w:color w:val="000000"/>
        </w:rPr>
      </w:pPr>
      <w:r w:rsidRPr="00EC4A66">
        <w:rPr>
          <w:rFonts w:ascii="Verdana" w:hAnsi="Verdana"/>
          <w:color w:val="000000"/>
        </w:rPr>
        <w:t>The proposed rel</w:t>
      </w:r>
      <w:r>
        <w:rPr>
          <w:rFonts w:ascii="Verdana" w:hAnsi="Verdana"/>
          <w:color w:val="000000"/>
        </w:rPr>
        <w:t>ocation</w:t>
      </w:r>
      <w:r w:rsidR="00D8314F">
        <w:rPr>
          <w:rFonts w:ascii="Verdana" w:hAnsi="Verdana"/>
          <w:color w:val="000000"/>
        </w:rPr>
        <w:t xml:space="preserve"> to a central single implantable device hub</w:t>
      </w:r>
      <w:r>
        <w:rPr>
          <w:rFonts w:ascii="Verdana" w:hAnsi="Verdana"/>
          <w:color w:val="000000"/>
        </w:rPr>
        <w:t xml:space="preserve"> </w:t>
      </w:r>
      <w:r w:rsidRPr="00EC4A66">
        <w:rPr>
          <w:rFonts w:ascii="Verdana" w:hAnsi="Verdana"/>
          <w:color w:val="000000"/>
        </w:rPr>
        <w:t>is not considered to have any significant likely impact</w:t>
      </w:r>
      <w:r w:rsidRPr="007A706F">
        <w:rPr>
          <w:rFonts w:ascii="Verdana" w:hAnsi="Verdana" w:cs="Arial"/>
          <w:color w:val="000000"/>
        </w:rPr>
        <w:t xml:space="preserve"> on </w:t>
      </w:r>
      <w:r>
        <w:rPr>
          <w:rFonts w:ascii="Verdana" w:hAnsi="Verdana" w:cs="Arial"/>
          <w:color w:val="000000"/>
        </w:rPr>
        <w:t>sexuality</w:t>
      </w:r>
      <w:r w:rsidRPr="007A706F">
        <w:rPr>
          <w:rFonts w:ascii="Verdana" w:hAnsi="Verdana" w:cs="Arial"/>
          <w:color w:val="000000"/>
        </w:rPr>
        <w:t xml:space="preserve">. </w:t>
      </w:r>
      <w:r>
        <w:rPr>
          <w:rFonts w:ascii="Verdana" w:hAnsi="Verdana" w:cs="Arial"/>
          <w:color w:val="000000"/>
        </w:rPr>
        <w:t>Patients of all sexualities</w:t>
      </w:r>
      <w:r w:rsidRPr="007A706F">
        <w:rPr>
          <w:rFonts w:ascii="Verdana" w:hAnsi="Verdana" w:cs="Arial"/>
          <w:color w:val="000000"/>
        </w:rPr>
        <w:t xml:space="preserve"> would be given appropriate support when required</w:t>
      </w:r>
      <w:r>
        <w:rPr>
          <w:rFonts w:ascii="Verdana" w:hAnsi="Verdana" w:cs="Arial"/>
          <w:color w:val="000000"/>
        </w:rPr>
        <w:t>.</w:t>
      </w:r>
    </w:p>
    <w:p w14:paraId="43503275" w14:textId="77777777" w:rsidR="00787E23" w:rsidRDefault="00787E23" w:rsidP="00787E23">
      <w:pPr>
        <w:spacing w:before="100" w:beforeAutospacing="1" w:after="100" w:afterAutospacing="1"/>
        <w:jc w:val="both"/>
        <w:rPr>
          <w:rFonts w:ascii="Verdana" w:hAnsi="Verdana"/>
          <w:b/>
        </w:rPr>
      </w:pPr>
      <w:r w:rsidRPr="000E117C">
        <w:rPr>
          <w:rFonts w:ascii="Verdana" w:hAnsi="Verdana"/>
          <w:b/>
        </w:rPr>
        <w:t>Gender Reassignment</w:t>
      </w:r>
    </w:p>
    <w:p w14:paraId="76AC8020" w14:textId="77777777" w:rsidR="00996F3E" w:rsidRPr="00040929" w:rsidRDefault="00A82C60" w:rsidP="00996F3E">
      <w:pPr>
        <w:pStyle w:val="Default"/>
        <w:jc w:val="both"/>
        <w:rPr>
          <w:rFonts w:ascii="Verdana" w:hAnsi="Verdana"/>
        </w:rPr>
      </w:pPr>
      <w:r>
        <w:rPr>
          <w:rFonts w:ascii="Verdana" w:hAnsi="Verdana"/>
        </w:rPr>
        <w:t>R</w:t>
      </w:r>
      <w:r w:rsidR="00996F3E" w:rsidRPr="00FA16E1">
        <w:rPr>
          <w:rFonts w:ascii="Verdana" w:hAnsi="Verdana"/>
        </w:rPr>
        <w:t>ecent research</w:t>
      </w:r>
      <w:r w:rsidR="00996F3E" w:rsidRPr="00FA16E1">
        <w:rPr>
          <w:rStyle w:val="FootnoteReference"/>
          <w:rFonts w:ascii="Verdana" w:hAnsi="Verdana"/>
        </w:rPr>
        <w:t xml:space="preserve"> </w:t>
      </w:r>
      <w:r w:rsidR="00996F3E" w:rsidRPr="00FA16E1">
        <w:rPr>
          <w:rFonts w:ascii="Verdana" w:hAnsi="Verdana"/>
        </w:rPr>
        <w:t>looking at the mental health and emotional wellbeing of transgender people has found rates of current and previously diagnosed mental ill health are high among this group. It is also recognised that this group find it particularly difficult to access services and</w:t>
      </w:r>
      <w:r w:rsidR="00780DE8">
        <w:rPr>
          <w:rFonts w:ascii="Verdana" w:hAnsi="Verdana"/>
        </w:rPr>
        <w:t xml:space="preserve"> that</w:t>
      </w:r>
      <w:r w:rsidR="00996F3E" w:rsidRPr="00FA16E1">
        <w:rPr>
          <w:rFonts w:ascii="Verdana" w:hAnsi="Verdana"/>
        </w:rPr>
        <w:t xml:space="preserve"> their dignity and respect must be protected in both hospital and community settings.</w:t>
      </w:r>
    </w:p>
    <w:p w14:paraId="52BC52B8" w14:textId="77777777" w:rsidR="00787E23" w:rsidRDefault="00787E23" w:rsidP="00787E23">
      <w:pPr>
        <w:spacing w:before="100" w:beforeAutospacing="1" w:after="100" w:afterAutospacing="1"/>
        <w:jc w:val="both"/>
        <w:rPr>
          <w:rFonts w:ascii="Verdana" w:hAnsi="Verdana" w:cs="Arial"/>
          <w:b/>
          <w:color w:val="000000"/>
        </w:rPr>
      </w:pPr>
      <w:r w:rsidRPr="000E117C">
        <w:rPr>
          <w:rFonts w:ascii="Verdana" w:hAnsi="Verdana" w:cs="Arial"/>
          <w:b/>
          <w:color w:val="000000"/>
        </w:rPr>
        <w:t>Welsh Language</w:t>
      </w:r>
    </w:p>
    <w:p w14:paraId="1DBE49DE" w14:textId="24DFDE3C" w:rsidR="00787E23" w:rsidRDefault="00787E23" w:rsidP="00754141">
      <w:pPr>
        <w:jc w:val="both"/>
        <w:rPr>
          <w:rFonts w:ascii="Verdana" w:hAnsi="Verdana"/>
          <w:color w:val="000000"/>
        </w:rPr>
      </w:pPr>
      <w:r w:rsidRPr="000E117C">
        <w:rPr>
          <w:rFonts w:ascii="Verdana" w:hAnsi="Verdana" w:cs="Arial"/>
          <w:color w:val="000000"/>
        </w:rPr>
        <w:t>Public services have a responsibility to comply with the Welsh Language (Wales) Measure. This has created standards which establish the right for Welsh language speakers to receive services in Welsh.</w:t>
      </w:r>
      <w:r w:rsidR="00AC304D" w:rsidRPr="00787E23">
        <w:rPr>
          <w:rFonts w:ascii="Verdana" w:hAnsi="Verdana"/>
          <w:color w:val="000000"/>
        </w:rPr>
        <w:t xml:space="preserve"> </w:t>
      </w:r>
      <w:r w:rsidR="00930ED6">
        <w:rPr>
          <w:rFonts w:ascii="Verdana" w:hAnsi="Verdana"/>
          <w:color w:val="000000"/>
        </w:rPr>
        <w:t>T</w:t>
      </w:r>
      <w:r w:rsidR="00AC304D" w:rsidRPr="00787E23">
        <w:rPr>
          <w:rFonts w:ascii="Verdana" w:hAnsi="Verdana"/>
          <w:color w:val="000000"/>
        </w:rPr>
        <w:t>he Welsh average of 18% of Males and 20% of Females</w:t>
      </w:r>
      <w:r w:rsidR="00AC304D" w:rsidRPr="00AC304D">
        <w:rPr>
          <w:rFonts w:ascii="Verdana" w:hAnsi="Verdana"/>
          <w:color w:val="000000"/>
        </w:rPr>
        <w:t xml:space="preserve"> </w:t>
      </w:r>
      <w:r w:rsidR="00AC304D" w:rsidRPr="00787E23">
        <w:rPr>
          <w:rFonts w:ascii="Verdana" w:hAnsi="Verdana"/>
          <w:color w:val="000000"/>
        </w:rPr>
        <w:t>are able to speak Welsh</w:t>
      </w:r>
      <w:r w:rsidR="00754141">
        <w:rPr>
          <w:rFonts w:ascii="Verdana" w:hAnsi="Verdana"/>
          <w:color w:val="000000"/>
        </w:rPr>
        <w:t>.  19</w:t>
      </w:r>
      <w:r w:rsidRPr="00787E23">
        <w:rPr>
          <w:rFonts w:ascii="Verdana" w:hAnsi="Verdana"/>
          <w:color w:val="000000"/>
        </w:rPr>
        <w:t xml:space="preserve">% of the population are able to speak Welsh according to the UK Census 2011. </w:t>
      </w:r>
    </w:p>
    <w:p w14:paraId="28248824" w14:textId="77777777" w:rsidR="00754141" w:rsidRDefault="00754141" w:rsidP="00754141">
      <w:pPr>
        <w:jc w:val="both"/>
        <w:rPr>
          <w:rFonts w:ascii="Verdana" w:hAnsi="Verdana"/>
          <w:color w:val="000000"/>
        </w:rPr>
      </w:pPr>
    </w:p>
    <w:p w14:paraId="1C87934A" w14:textId="77777777" w:rsidR="00EC3823" w:rsidRDefault="00EC3823" w:rsidP="00EC3823">
      <w:pPr>
        <w:jc w:val="both"/>
        <w:rPr>
          <w:rFonts w:ascii="Verdana" w:hAnsi="Verdana" w:cs="Arial"/>
          <w:color w:val="000000"/>
        </w:rPr>
      </w:pPr>
      <w:r w:rsidRPr="000E117C">
        <w:rPr>
          <w:rFonts w:ascii="Verdana" w:hAnsi="Verdana" w:cs="Arial"/>
          <w:color w:val="000000"/>
        </w:rPr>
        <w:t xml:space="preserve">Service users who </w:t>
      </w:r>
      <w:r>
        <w:rPr>
          <w:rFonts w:ascii="Verdana" w:hAnsi="Verdana" w:cs="Arial"/>
          <w:color w:val="000000"/>
        </w:rPr>
        <w:t xml:space="preserve">may </w:t>
      </w:r>
      <w:r w:rsidRPr="000E117C">
        <w:rPr>
          <w:rFonts w:ascii="Verdana" w:hAnsi="Verdana" w:cs="Arial"/>
          <w:color w:val="000000"/>
        </w:rPr>
        <w:t xml:space="preserve">prefer </w:t>
      </w:r>
      <w:r>
        <w:rPr>
          <w:rFonts w:ascii="Verdana" w:hAnsi="Verdana" w:cs="Arial"/>
          <w:color w:val="000000"/>
        </w:rPr>
        <w:t xml:space="preserve">or need </w:t>
      </w:r>
      <w:r w:rsidRPr="000E117C">
        <w:rPr>
          <w:rFonts w:ascii="Verdana" w:hAnsi="Verdana" w:cs="Arial"/>
          <w:color w:val="000000"/>
        </w:rPr>
        <w:t>to communicate in the medium of Welsh may be required to access services at sites which do not have sufficient Welsh speaking staff. This could affect the service user’s ability to communicate with service providers in their preferred language. Meeting the information and communication needs of Welsh speakers will need to be taken into account.</w:t>
      </w:r>
      <w:r>
        <w:rPr>
          <w:rFonts w:ascii="Verdana" w:hAnsi="Verdana" w:cs="Arial"/>
          <w:color w:val="000000"/>
        </w:rPr>
        <w:t xml:space="preserve">  Reading materials will also be made available upon request.</w:t>
      </w:r>
    </w:p>
    <w:p w14:paraId="182A38EE" w14:textId="77777777" w:rsidR="00EC3823" w:rsidRDefault="00EC3823" w:rsidP="00EC3823">
      <w:pPr>
        <w:jc w:val="both"/>
        <w:rPr>
          <w:rFonts w:ascii="Verdana" w:hAnsi="Verdana" w:cs="Arial"/>
          <w:color w:val="000000"/>
        </w:rPr>
      </w:pPr>
    </w:p>
    <w:p w14:paraId="26D6BB09" w14:textId="77777777" w:rsidR="00EC3823" w:rsidRDefault="00EC3823" w:rsidP="009F10AD">
      <w:pPr>
        <w:jc w:val="both"/>
        <w:rPr>
          <w:rFonts w:ascii="Verdana" w:hAnsi="Verdana"/>
          <w:color w:val="000000"/>
        </w:rPr>
      </w:pPr>
      <w:r w:rsidRPr="00EC3823">
        <w:rPr>
          <w:rFonts w:ascii="Verdana" w:hAnsi="Verdana"/>
          <w:color w:val="000000"/>
        </w:rPr>
        <w:t xml:space="preserve">It will be essential to comply with the Welsh Language Act 1993 and all supporting strategies </w:t>
      </w:r>
      <w:r w:rsidR="00AF7C12">
        <w:rPr>
          <w:rFonts w:ascii="Verdana" w:hAnsi="Verdana"/>
          <w:color w:val="000000"/>
        </w:rPr>
        <w:t>(</w:t>
      </w:r>
      <w:r w:rsidRPr="00EC3823">
        <w:rPr>
          <w:rFonts w:ascii="Verdana" w:hAnsi="Verdana"/>
          <w:color w:val="000000"/>
        </w:rPr>
        <w:t>particularly the Bilingual Skills Strategy and the ‘active offer’</w:t>
      </w:r>
      <w:r w:rsidR="00AF7C12">
        <w:rPr>
          <w:rFonts w:ascii="Verdana" w:hAnsi="Verdana"/>
          <w:color w:val="000000"/>
        </w:rPr>
        <w:t>)</w:t>
      </w:r>
      <w:r w:rsidRPr="00EC3823">
        <w:rPr>
          <w:rFonts w:ascii="Verdana" w:hAnsi="Verdana"/>
          <w:color w:val="000000"/>
        </w:rPr>
        <w:t xml:space="preserve"> when planning for service change. In addition to this, the </w:t>
      </w:r>
      <w:r w:rsidRPr="00EC3823">
        <w:rPr>
          <w:rFonts w:ascii="Verdana" w:hAnsi="Verdana"/>
          <w:color w:val="000000"/>
        </w:rPr>
        <w:lastRenderedPageBreak/>
        <w:t>Welsh</w:t>
      </w:r>
      <w:r w:rsidR="009F10AD">
        <w:rPr>
          <w:rFonts w:ascii="Verdana" w:hAnsi="Verdana" w:cs="Arial"/>
          <w:color w:val="000000"/>
        </w:rPr>
        <w:t xml:space="preserve"> </w:t>
      </w:r>
      <w:r w:rsidRPr="00EC3823">
        <w:rPr>
          <w:rFonts w:ascii="Verdana" w:hAnsi="Verdana"/>
          <w:color w:val="000000"/>
        </w:rPr>
        <w:t>Language Commissioner has applied a new set of Standards throughout the Health Service in Wales which were issued in November 2018 and many must be met by May 2019. They cover staff and patients and we have a legal duty to meet them.</w:t>
      </w:r>
    </w:p>
    <w:p w14:paraId="16D20111" w14:textId="77777777" w:rsidR="009F10AD" w:rsidRPr="009F10AD" w:rsidRDefault="009F10AD" w:rsidP="009F10AD">
      <w:pPr>
        <w:jc w:val="both"/>
        <w:rPr>
          <w:rFonts w:ascii="Verdana" w:hAnsi="Verdana" w:cs="Arial"/>
          <w:color w:val="000000"/>
        </w:rPr>
      </w:pPr>
    </w:p>
    <w:p w14:paraId="117FB6E1" w14:textId="77777777" w:rsidR="00EC3823" w:rsidRPr="009F10AD" w:rsidRDefault="00EC3823" w:rsidP="00EA58E9">
      <w:pPr>
        <w:jc w:val="both"/>
        <w:rPr>
          <w:rFonts w:ascii="Verdana" w:hAnsi="Verdana" w:cs="Arial"/>
          <w:color w:val="000000"/>
        </w:rPr>
      </w:pPr>
      <w:r w:rsidRPr="009F10AD">
        <w:rPr>
          <w:rFonts w:ascii="Verdana" w:hAnsi="Verdana" w:cs="Arial"/>
          <w:color w:val="000000"/>
        </w:rPr>
        <w:t>There are no identified impacts on the Welsh Language</w:t>
      </w:r>
      <w:r w:rsidR="00EC5242" w:rsidRPr="009F10AD">
        <w:rPr>
          <w:rFonts w:ascii="Verdana" w:hAnsi="Verdana" w:cs="Arial"/>
          <w:color w:val="000000"/>
        </w:rPr>
        <w:t xml:space="preserve"> Measure of the potential change</w:t>
      </w:r>
      <w:r w:rsidRPr="009F10AD">
        <w:rPr>
          <w:rFonts w:ascii="Verdana" w:hAnsi="Verdana" w:cs="Arial"/>
          <w:color w:val="000000"/>
        </w:rPr>
        <w:t>.</w:t>
      </w:r>
      <w:r w:rsidR="009F10AD" w:rsidRPr="009F10AD">
        <w:rPr>
          <w:rFonts w:ascii="Verdana" w:hAnsi="Verdana"/>
        </w:rPr>
        <w:t xml:space="preserve"> </w:t>
      </w:r>
      <w:r w:rsidR="0048114D">
        <w:rPr>
          <w:rFonts w:ascii="Verdana" w:hAnsi="Verdana"/>
        </w:rPr>
        <w:t>If staff are not Welsh speakers</w:t>
      </w:r>
      <w:r w:rsidR="00AF7C12">
        <w:rPr>
          <w:rFonts w:ascii="Verdana" w:hAnsi="Verdana"/>
        </w:rPr>
        <w:t>,</w:t>
      </w:r>
      <w:r w:rsidR="0048114D">
        <w:rPr>
          <w:rFonts w:ascii="Verdana" w:hAnsi="Verdana"/>
        </w:rPr>
        <w:t xml:space="preserve"> a</w:t>
      </w:r>
      <w:r w:rsidR="009F10AD" w:rsidRPr="009F10AD">
        <w:rPr>
          <w:rFonts w:ascii="Verdana" w:hAnsi="Verdana"/>
        </w:rPr>
        <w:t>pproved translation services will be contacted at the earliest instance if it is suspected that one will be required.</w:t>
      </w:r>
    </w:p>
    <w:p w14:paraId="6B979713" w14:textId="77777777" w:rsidR="00EC3823" w:rsidRPr="00787E23" w:rsidRDefault="00EC3823" w:rsidP="00787E23">
      <w:pPr>
        <w:spacing w:before="100" w:beforeAutospacing="1" w:after="100" w:afterAutospacing="1"/>
        <w:jc w:val="both"/>
        <w:rPr>
          <w:rFonts w:ascii="Verdana" w:hAnsi="Verdana" w:cs="Arial"/>
          <w:b/>
          <w:color w:val="000000"/>
        </w:rPr>
      </w:pPr>
      <w:r w:rsidRPr="000E117C">
        <w:rPr>
          <w:rFonts w:ascii="Verdana" w:hAnsi="Verdana" w:cs="Arial"/>
          <w:b/>
          <w:color w:val="000000"/>
        </w:rPr>
        <w:t>Socioeconomic status</w:t>
      </w:r>
    </w:p>
    <w:p w14:paraId="318B9CBA" w14:textId="77777777" w:rsidR="00787E23" w:rsidRDefault="00EC3823" w:rsidP="00787E23">
      <w:pPr>
        <w:spacing w:before="100" w:beforeAutospacing="1" w:after="100" w:afterAutospacing="1"/>
        <w:jc w:val="both"/>
        <w:rPr>
          <w:rFonts w:ascii="Verdana" w:hAnsi="Verdana" w:cs="Arial"/>
        </w:rPr>
      </w:pPr>
      <w:r w:rsidRPr="000E117C">
        <w:rPr>
          <w:rFonts w:ascii="Verdana" w:hAnsi="Verdana"/>
          <w:lang w:val="en-US"/>
        </w:rPr>
        <w:t xml:space="preserve">While socioeconomic status is not a protected characteristic under the Equality Act 2010, </w:t>
      </w:r>
      <w:r w:rsidRPr="00754141">
        <w:rPr>
          <w:rFonts w:ascii="Verdana" w:hAnsi="Verdana"/>
          <w:lang w:val="en-US"/>
        </w:rPr>
        <w:t>it is particularly relevant in relation to the protected characteristics</w:t>
      </w:r>
      <w:r w:rsidRPr="000E117C">
        <w:rPr>
          <w:rFonts w:ascii="Verdana" w:hAnsi="Verdana"/>
          <w:lang w:val="en-US"/>
        </w:rPr>
        <w:t>. There is a strong correlation between the protected characteristics and low socioeconomic status</w:t>
      </w:r>
      <w:r w:rsidR="00425C74">
        <w:rPr>
          <w:rStyle w:val="FootnoteReference"/>
          <w:rFonts w:ascii="Verdana" w:hAnsi="Verdana"/>
          <w:lang w:val="en-US"/>
        </w:rPr>
        <w:footnoteReference w:id="14"/>
      </w:r>
      <w:r w:rsidR="00425C74">
        <w:rPr>
          <w:rFonts w:ascii="Verdana" w:hAnsi="Verdana"/>
          <w:lang w:val="en-US"/>
        </w:rPr>
        <w:t>.</w:t>
      </w:r>
    </w:p>
    <w:p w14:paraId="540869E7" w14:textId="469E7E66" w:rsidR="00EC3823" w:rsidRPr="000E117C" w:rsidRDefault="00EC3823" w:rsidP="00EA58E9">
      <w:pPr>
        <w:jc w:val="both"/>
        <w:rPr>
          <w:rFonts w:ascii="Verdana" w:hAnsi="Verdana"/>
          <w:lang w:val="en-US"/>
        </w:rPr>
      </w:pPr>
      <w:r w:rsidRPr="000E117C">
        <w:rPr>
          <w:rFonts w:ascii="Verdana" w:hAnsi="Verdana"/>
        </w:rPr>
        <w:t>Approximately a quarter of households (2</w:t>
      </w:r>
      <w:r w:rsidR="0043665C">
        <w:rPr>
          <w:rFonts w:ascii="Verdana" w:hAnsi="Verdana"/>
        </w:rPr>
        <w:t>2</w:t>
      </w:r>
      <w:r w:rsidRPr="000E117C">
        <w:rPr>
          <w:rFonts w:ascii="Verdana" w:hAnsi="Verdana"/>
        </w:rPr>
        <w:t>.</w:t>
      </w:r>
      <w:r w:rsidR="0043665C">
        <w:rPr>
          <w:rFonts w:ascii="Verdana" w:hAnsi="Verdana"/>
        </w:rPr>
        <w:t>9</w:t>
      </w:r>
      <w:r w:rsidRPr="000E117C">
        <w:rPr>
          <w:rFonts w:ascii="Verdana" w:hAnsi="Verdana"/>
        </w:rPr>
        <w:t xml:space="preserve">%) in </w:t>
      </w:r>
      <w:r w:rsidR="0043665C">
        <w:rPr>
          <w:rFonts w:ascii="Verdana" w:hAnsi="Verdana"/>
        </w:rPr>
        <w:t xml:space="preserve">Wales </w:t>
      </w:r>
      <w:r w:rsidRPr="000E117C">
        <w:rPr>
          <w:rFonts w:ascii="Verdana" w:hAnsi="Verdana"/>
        </w:rPr>
        <w:t>ha</w:t>
      </w:r>
      <w:r w:rsidR="00AF7C12">
        <w:rPr>
          <w:rFonts w:ascii="Verdana" w:hAnsi="Verdana"/>
        </w:rPr>
        <w:t>ve</w:t>
      </w:r>
      <w:r w:rsidRPr="000E117C">
        <w:rPr>
          <w:rFonts w:ascii="Verdana" w:hAnsi="Verdana"/>
        </w:rPr>
        <w:t xml:space="preserve"> no access to a car</w:t>
      </w:r>
      <w:r w:rsidR="0043665C">
        <w:rPr>
          <w:rFonts w:ascii="Verdana" w:hAnsi="Verdana"/>
        </w:rPr>
        <w:t xml:space="preserve">. </w:t>
      </w:r>
      <w:r w:rsidRPr="000E117C">
        <w:rPr>
          <w:rFonts w:ascii="Verdana" w:hAnsi="Verdana"/>
        </w:rPr>
        <w:t xml:space="preserve"> </w:t>
      </w:r>
      <w:r w:rsidRPr="000E117C">
        <w:rPr>
          <w:rFonts w:ascii="Verdana" w:hAnsi="Verdana"/>
          <w:lang w:val="en-US"/>
        </w:rPr>
        <w:t>Comparing the health boards in the area affected, Powys has the lowest proportion of households with no car or van at 15.0%, while Cwm Taf at 27.6% has the highest proportion with no car or van.</w:t>
      </w:r>
    </w:p>
    <w:p w14:paraId="61D3B70E" w14:textId="77777777" w:rsidR="00EC3823" w:rsidRPr="000E117C" w:rsidRDefault="00EC3823" w:rsidP="00EA58E9">
      <w:pPr>
        <w:jc w:val="both"/>
        <w:rPr>
          <w:rFonts w:ascii="Verdana" w:hAnsi="Verdana"/>
        </w:rPr>
      </w:pPr>
    </w:p>
    <w:p w14:paraId="122282C2" w14:textId="77777777" w:rsidR="00787E23" w:rsidRPr="00EC3823" w:rsidRDefault="00EC3823" w:rsidP="00EA58E9">
      <w:pPr>
        <w:jc w:val="both"/>
        <w:rPr>
          <w:rFonts w:ascii="Verdana" w:hAnsi="Verdana"/>
          <w:lang w:val="en-US"/>
        </w:rPr>
      </w:pPr>
      <w:r w:rsidRPr="000E117C">
        <w:rPr>
          <w:rFonts w:ascii="Verdana" w:hAnsi="Verdana"/>
          <w:lang w:val="en-US"/>
        </w:rPr>
        <w:t xml:space="preserve">In terms of local authorities, </w:t>
      </w:r>
      <w:proofErr w:type="spellStart"/>
      <w:r w:rsidRPr="000E117C">
        <w:rPr>
          <w:rFonts w:ascii="Verdana" w:hAnsi="Verdana"/>
          <w:lang w:val="en-US"/>
        </w:rPr>
        <w:t>Merthyr</w:t>
      </w:r>
      <w:proofErr w:type="spellEnd"/>
      <w:r w:rsidRPr="000E117C">
        <w:rPr>
          <w:rFonts w:ascii="Verdana" w:hAnsi="Verdana"/>
          <w:lang w:val="en-US"/>
        </w:rPr>
        <w:t xml:space="preserve"> </w:t>
      </w:r>
      <w:proofErr w:type="spellStart"/>
      <w:r w:rsidRPr="000E117C">
        <w:rPr>
          <w:rFonts w:ascii="Verdana" w:hAnsi="Verdana"/>
          <w:lang w:val="en-US"/>
        </w:rPr>
        <w:t>Tydfil</w:t>
      </w:r>
      <w:proofErr w:type="spellEnd"/>
      <w:r w:rsidRPr="000E117C">
        <w:rPr>
          <w:rFonts w:ascii="Verdana" w:hAnsi="Verdana"/>
          <w:lang w:val="en-US"/>
        </w:rPr>
        <w:t xml:space="preserve"> (29.7%), </w:t>
      </w:r>
      <w:proofErr w:type="spellStart"/>
      <w:r w:rsidRPr="000E117C">
        <w:rPr>
          <w:rFonts w:ascii="Verdana" w:hAnsi="Verdana"/>
          <w:lang w:val="en-US"/>
        </w:rPr>
        <w:t>Blaenau</w:t>
      </w:r>
      <w:proofErr w:type="spellEnd"/>
      <w:r w:rsidRPr="000E117C">
        <w:rPr>
          <w:rFonts w:ascii="Verdana" w:hAnsi="Verdana"/>
          <w:lang w:val="en-US"/>
        </w:rPr>
        <w:t xml:space="preserve"> Gwent (29.0%), and Cardiff (29.0%) have the highest proportion of</w:t>
      </w:r>
      <w:r>
        <w:rPr>
          <w:rFonts w:ascii="Verdana" w:hAnsi="Verdana"/>
          <w:lang w:val="en-US"/>
        </w:rPr>
        <w:t xml:space="preserve"> households with no car or van.  </w:t>
      </w:r>
      <w:r w:rsidRPr="000E117C">
        <w:rPr>
          <w:rFonts w:ascii="Verdana" w:hAnsi="Verdana"/>
          <w:lang w:val="en-US"/>
        </w:rPr>
        <w:t xml:space="preserve">Powys (15.0%) and </w:t>
      </w:r>
      <w:proofErr w:type="spellStart"/>
      <w:r w:rsidRPr="000E117C">
        <w:rPr>
          <w:rFonts w:ascii="Verdana" w:hAnsi="Verdana"/>
          <w:lang w:val="en-US"/>
        </w:rPr>
        <w:t>Monmouthshire</w:t>
      </w:r>
      <w:proofErr w:type="spellEnd"/>
      <w:r w:rsidRPr="000E117C">
        <w:rPr>
          <w:rFonts w:ascii="Verdana" w:hAnsi="Verdana"/>
          <w:lang w:val="en-US"/>
        </w:rPr>
        <w:t xml:space="preserve"> (15.2%) have the lowest proportion of households with no car or van.</w:t>
      </w:r>
    </w:p>
    <w:p w14:paraId="4C5BE3A7" w14:textId="0D922502" w:rsidR="0032716A" w:rsidRDefault="0032716A" w:rsidP="00425C74">
      <w:pPr>
        <w:rPr>
          <w:rFonts w:ascii="Verdana" w:hAnsi="Verdana"/>
          <w:b/>
          <w:sz w:val="22"/>
        </w:rPr>
      </w:pPr>
    </w:p>
    <w:p w14:paraId="7C394F69" w14:textId="77777777" w:rsidR="00425C74" w:rsidRDefault="00425C74" w:rsidP="00425C74">
      <w:pPr>
        <w:rPr>
          <w:rFonts w:ascii="Verdana" w:hAnsi="Verdana"/>
          <w:sz w:val="22"/>
          <w:lang w:val="en-US"/>
        </w:rPr>
      </w:pPr>
      <w:r w:rsidRPr="00566665">
        <w:rPr>
          <w:rFonts w:ascii="Verdana" w:hAnsi="Verdana"/>
          <w:b/>
          <w:sz w:val="22"/>
        </w:rPr>
        <w:t>Table 5</w:t>
      </w:r>
      <w:r w:rsidR="00566665" w:rsidRPr="00566665">
        <w:rPr>
          <w:rFonts w:ascii="Verdana" w:hAnsi="Verdana"/>
          <w:b/>
          <w:sz w:val="22"/>
        </w:rPr>
        <w:t>:</w:t>
      </w:r>
      <w:r w:rsidRPr="00257C7B">
        <w:rPr>
          <w:rFonts w:ascii="Verdana" w:hAnsi="Verdana"/>
          <w:sz w:val="22"/>
        </w:rPr>
        <w:t xml:space="preserve"> </w:t>
      </w:r>
      <w:r w:rsidRPr="00257C7B">
        <w:rPr>
          <w:rFonts w:ascii="Verdana" w:hAnsi="Verdana"/>
          <w:sz w:val="22"/>
          <w:lang w:val="en-US"/>
        </w:rPr>
        <w:t>Car or van availability by local authorities in Wales (Source: Table KS404EW 2011 Census, ONS)</w:t>
      </w:r>
    </w:p>
    <w:p w14:paraId="3DA875DE" w14:textId="77777777" w:rsidR="0043665C" w:rsidRDefault="0043665C" w:rsidP="00425C74">
      <w:pPr>
        <w:rPr>
          <w:rFonts w:ascii="Verdana" w:hAnsi="Verdana"/>
          <w:sz w:val="22"/>
          <w:lang w:val="en-US"/>
        </w:rPr>
      </w:pPr>
    </w:p>
    <w:p w14:paraId="02BE8FE8" w14:textId="77777777" w:rsidR="00425C74" w:rsidRPr="000E117C" w:rsidRDefault="00425C74" w:rsidP="00425C74">
      <w:pPr>
        <w:rPr>
          <w:rFonts w:ascii="Verdana" w:hAnsi="Verdana"/>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3"/>
        <w:gridCol w:w="886"/>
        <w:gridCol w:w="886"/>
        <w:gridCol w:w="886"/>
        <w:gridCol w:w="759"/>
        <w:gridCol w:w="759"/>
        <w:gridCol w:w="1175"/>
        <w:gridCol w:w="1311"/>
      </w:tblGrid>
      <w:tr w:rsidR="00425C74" w:rsidRPr="000E117C" w14:paraId="05D47143" w14:textId="77777777" w:rsidTr="00C21FEC">
        <w:trPr>
          <w:trHeight w:val="2552"/>
        </w:trPr>
        <w:tc>
          <w:tcPr>
            <w:tcW w:w="2443" w:type="dxa"/>
            <w:shd w:val="clear" w:color="auto" w:fill="auto"/>
            <w:noWrap/>
            <w:vAlign w:val="bottom"/>
            <w:hideMark/>
          </w:tcPr>
          <w:p w14:paraId="63A36AFB"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Region</w:t>
            </w:r>
          </w:p>
        </w:tc>
        <w:tc>
          <w:tcPr>
            <w:tcW w:w="869" w:type="dxa"/>
            <w:shd w:val="clear" w:color="auto" w:fill="auto"/>
            <w:noWrap/>
            <w:textDirection w:val="btLr"/>
            <w:vAlign w:val="bottom"/>
            <w:hideMark/>
          </w:tcPr>
          <w:p w14:paraId="0F4C05C4" w14:textId="77777777" w:rsidR="00425C74" w:rsidRDefault="00425C74" w:rsidP="00425C74">
            <w:pPr>
              <w:jc w:val="center"/>
              <w:rPr>
                <w:rFonts w:ascii="Verdana" w:hAnsi="Verdana"/>
                <w:color w:val="000000"/>
                <w:sz w:val="20"/>
                <w:szCs w:val="22"/>
                <w:lang w:val="en-US"/>
              </w:rPr>
            </w:pPr>
            <w:r>
              <w:rPr>
                <w:rFonts w:ascii="Verdana" w:hAnsi="Verdana"/>
                <w:color w:val="000000"/>
                <w:sz w:val="20"/>
                <w:szCs w:val="22"/>
                <w:lang w:val="en-US"/>
              </w:rPr>
              <w:t>No cars or vans</w:t>
            </w:r>
          </w:p>
          <w:p w14:paraId="7285EDDE"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2"/>
                <w:lang w:val="en-US"/>
              </w:rPr>
              <w:t>in household</w:t>
            </w:r>
          </w:p>
        </w:tc>
        <w:tc>
          <w:tcPr>
            <w:tcW w:w="869" w:type="dxa"/>
            <w:shd w:val="clear" w:color="auto" w:fill="auto"/>
            <w:noWrap/>
            <w:textDirection w:val="btLr"/>
            <w:vAlign w:val="bottom"/>
            <w:hideMark/>
          </w:tcPr>
          <w:p w14:paraId="17034A4C" w14:textId="77777777" w:rsidR="00425C74" w:rsidRDefault="00425C74" w:rsidP="00425C74">
            <w:pPr>
              <w:jc w:val="center"/>
              <w:rPr>
                <w:rFonts w:ascii="Verdana" w:hAnsi="Verdana"/>
                <w:color w:val="000000"/>
                <w:sz w:val="20"/>
                <w:szCs w:val="22"/>
                <w:lang w:val="en-US"/>
              </w:rPr>
            </w:pPr>
            <w:r>
              <w:rPr>
                <w:rFonts w:ascii="Verdana" w:hAnsi="Verdana"/>
                <w:color w:val="000000"/>
                <w:sz w:val="20"/>
                <w:szCs w:val="22"/>
                <w:lang w:val="en-US"/>
              </w:rPr>
              <w:t>1 car or van</w:t>
            </w:r>
          </w:p>
          <w:p w14:paraId="744607C5"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2"/>
                <w:lang w:val="en-US"/>
              </w:rPr>
              <w:t>in household</w:t>
            </w:r>
          </w:p>
        </w:tc>
        <w:tc>
          <w:tcPr>
            <w:tcW w:w="869" w:type="dxa"/>
            <w:shd w:val="clear" w:color="auto" w:fill="auto"/>
            <w:noWrap/>
            <w:textDirection w:val="btLr"/>
            <w:vAlign w:val="bottom"/>
            <w:hideMark/>
          </w:tcPr>
          <w:p w14:paraId="3DA4F951" w14:textId="77777777" w:rsidR="00425C74" w:rsidRDefault="00425C74" w:rsidP="00425C74">
            <w:pPr>
              <w:jc w:val="center"/>
              <w:rPr>
                <w:rFonts w:ascii="Verdana" w:hAnsi="Verdana"/>
                <w:color w:val="000000"/>
                <w:sz w:val="20"/>
                <w:szCs w:val="22"/>
                <w:lang w:val="en-US"/>
              </w:rPr>
            </w:pPr>
            <w:r w:rsidRPr="000E117C">
              <w:rPr>
                <w:rFonts w:ascii="Verdana" w:hAnsi="Verdana"/>
                <w:color w:val="000000"/>
                <w:sz w:val="20"/>
                <w:szCs w:val="22"/>
                <w:lang w:val="en-US"/>
              </w:rPr>
              <w:t>2 cars</w:t>
            </w:r>
            <w:r>
              <w:rPr>
                <w:rFonts w:ascii="Verdana" w:hAnsi="Verdana"/>
                <w:color w:val="000000"/>
                <w:sz w:val="20"/>
                <w:szCs w:val="22"/>
                <w:lang w:val="en-US"/>
              </w:rPr>
              <w:t xml:space="preserve"> or vans</w:t>
            </w:r>
          </w:p>
          <w:p w14:paraId="7CFD6FDD"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2"/>
                <w:lang w:val="en-US"/>
              </w:rPr>
              <w:t>in household</w:t>
            </w:r>
          </w:p>
        </w:tc>
        <w:tc>
          <w:tcPr>
            <w:tcW w:w="745" w:type="dxa"/>
            <w:shd w:val="clear" w:color="auto" w:fill="auto"/>
            <w:noWrap/>
            <w:textDirection w:val="btLr"/>
            <w:vAlign w:val="bottom"/>
            <w:hideMark/>
          </w:tcPr>
          <w:p w14:paraId="21B97084" w14:textId="77777777" w:rsidR="00425C74" w:rsidRDefault="00425C74" w:rsidP="00425C74">
            <w:pPr>
              <w:jc w:val="center"/>
              <w:rPr>
                <w:rFonts w:ascii="Verdana" w:hAnsi="Verdana"/>
                <w:color w:val="000000"/>
                <w:sz w:val="20"/>
                <w:szCs w:val="22"/>
                <w:lang w:val="en-US"/>
              </w:rPr>
            </w:pPr>
            <w:r>
              <w:rPr>
                <w:rFonts w:ascii="Verdana" w:hAnsi="Verdana"/>
                <w:color w:val="000000"/>
                <w:sz w:val="20"/>
                <w:szCs w:val="22"/>
                <w:lang w:val="en-US"/>
              </w:rPr>
              <w:t>3 cars or vans</w:t>
            </w:r>
          </w:p>
          <w:p w14:paraId="621E3BE9"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2"/>
                <w:lang w:val="en-US"/>
              </w:rPr>
              <w:t>in household</w:t>
            </w:r>
          </w:p>
        </w:tc>
        <w:tc>
          <w:tcPr>
            <w:tcW w:w="745" w:type="dxa"/>
            <w:shd w:val="clear" w:color="auto" w:fill="auto"/>
            <w:noWrap/>
            <w:textDirection w:val="btLr"/>
            <w:vAlign w:val="bottom"/>
            <w:hideMark/>
          </w:tcPr>
          <w:p w14:paraId="3CED502E" w14:textId="77777777" w:rsidR="00425C74" w:rsidRDefault="00425C74" w:rsidP="00425C74">
            <w:pPr>
              <w:jc w:val="center"/>
              <w:rPr>
                <w:rFonts w:ascii="Verdana" w:hAnsi="Verdana"/>
                <w:color w:val="000000"/>
                <w:sz w:val="20"/>
                <w:szCs w:val="22"/>
                <w:lang w:val="en-US"/>
              </w:rPr>
            </w:pPr>
            <w:r>
              <w:rPr>
                <w:rFonts w:ascii="Verdana" w:hAnsi="Verdana"/>
                <w:color w:val="000000"/>
                <w:sz w:val="20"/>
                <w:szCs w:val="22"/>
                <w:lang w:val="en-US"/>
              </w:rPr>
              <w:t>4 or more cars or vans</w:t>
            </w:r>
          </w:p>
          <w:p w14:paraId="7729DC2F" w14:textId="77777777" w:rsidR="00425C74" w:rsidRPr="000E117C" w:rsidRDefault="00425C74" w:rsidP="00425C74">
            <w:pPr>
              <w:jc w:val="center"/>
              <w:rPr>
                <w:rFonts w:ascii="Verdana" w:hAnsi="Verdana"/>
                <w:color w:val="000000"/>
                <w:sz w:val="20"/>
                <w:szCs w:val="20"/>
              </w:rPr>
            </w:pPr>
            <w:r w:rsidRPr="000E117C">
              <w:rPr>
                <w:rFonts w:ascii="Verdana" w:hAnsi="Verdana"/>
                <w:color w:val="000000"/>
                <w:sz w:val="20"/>
                <w:szCs w:val="22"/>
                <w:lang w:val="en-US"/>
              </w:rPr>
              <w:t>in household</w:t>
            </w:r>
          </w:p>
        </w:tc>
        <w:tc>
          <w:tcPr>
            <w:tcW w:w="1175" w:type="dxa"/>
            <w:shd w:val="clear" w:color="auto" w:fill="auto"/>
            <w:noWrap/>
            <w:vAlign w:val="bottom"/>
            <w:hideMark/>
          </w:tcPr>
          <w:p w14:paraId="1BF0F15C"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Total (%)</w:t>
            </w:r>
          </w:p>
        </w:tc>
        <w:tc>
          <w:tcPr>
            <w:tcW w:w="1311" w:type="dxa"/>
            <w:shd w:val="clear" w:color="auto" w:fill="auto"/>
            <w:noWrap/>
            <w:vAlign w:val="bottom"/>
            <w:hideMark/>
          </w:tcPr>
          <w:p w14:paraId="05681AAF"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Total</w:t>
            </w:r>
          </w:p>
        </w:tc>
      </w:tr>
      <w:tr w:rsidR="00425C74" w:rsidRPr="000E117C" w14:paraId="7A743C48" w14:textId="77777777" w:rsidTr="00C21FEC">
        <w:trPr>
          <w:trHeight w:hRule="exact" w:val="300"/>
        </w:trPr>
        <w:tc>
          <w:tcPr>
            <w:tcW w:w="2443" w:type="dxa"/>
            <w:shd w:val="clear" w:color="auto" w:fill="auto"/>
            <w:noWrap/>
            <w:vAlign w:val="bottom"/>
            <w:hideMark/>
          </w:tcPr>
          <w:p w14:paraId="4209C7F8"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Aneurin Bevan UHB</w:t>
            </w:r>
          </w:p>
        </w:tc>
        <w:tc>
          <w:tcPr>
            <w:tcW w:w="869" w:type="dxa"/>
            <w:shd w:val="clear" w:color="auto" w:fill="auto"/>
            <w:noWrap/>
            <w:vAlign w:val="bottom"/>
            <w:hideMark/>
          </w:tcPr>
          <w:p w14:paraId="0C494A8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24.3%</w:t>
            </w:r>
          </w:p>
        </w:tc>
        <w:tc>
          <w:tcPr>
            <w:tcW w:w="869" w:type="dxa"/>
            <w:shd w:val="clear" w:color="auto" w:fill="auto"/>
            <w:noWrap/>
            <w:vAlign w:val="bottom"/>
            <w:hideMark/>
          </w:tcPr>
          <w:p w14:paraId="72BC602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42.4%</w:t>
            </w:r>
          </w:p>
        </w:tc>
        <w:tc>
          <w:tcPr>
            <w:tcW w:w="869" w:type="dxa"/>
            <w:shd w:val="clear" w:color="auto" w:fill="auto"/>
            <w:noWrap/>
            <w:vAlign w:val="bottom"/>
            <w:hideMark/>
          </w:tcPr>
          <w:p w14:paraId="3FC091F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25.3%</w:t>
            </w:r>
          </w:p>
        </w:tc>
        <w:tc>
          <w:tcPr>
            <w:tcW w:w="745" w:type="dxa"/>
            <w:shd w:val="clear" w:color="auto" w:fill="auto"/>
            <w:noWrap/>
            <w:vAlign w:val="bottom"/>
            <w:hideMark/>
          </w:tcPr>
          <w:p w14:paraId="59AD027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6.0%</w:t>
            </w:r>
          </w:p>
        </w:tc>
        <w:tc>
          <w:tcPr>
            <w:tcW w:w="745" w:type="dxa"/>
            <w:shd w:val="clear" w:color="auto" w:fill="auto"/>
            <w:noWrap/>
            <w:vAlign w:val="bottom"/>
            <w:hideMark/>
          </w:tcPr>
          <w:p w14:paraId="5D4405C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2.0%</w:t>
            </w:r>
          </w:p>
        </w:tc>
        <w:tc>
          <w:tcPr>
            <w:tcW w:w="1175" w:type="dxa"/>
            <w:shd w:val="clear" w:color="auto" w:fill="auto"/>
            <w:noWrap/>
            <w:vAlign w:val="bottom"/>
            <w:hideMark/>
          </w:tcPr>
          <w:p w14:paraId="159EF49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100.0%</w:t>
            </w:r>
          </w:p>
        </w:tc>
        <w:tc>
          <w:tcPr>
            <w:tcW w:w="1311" w:type="dxa"/>
            <w:shd w:val="clear" w:color="auto" w:fill="auto"/>
            <w:noWrap/>
            <w:vAlign w:val="bottom"/>
            <w:hideMark/>
          </w:tcPr>
          <w:p w14:paraId="0E1944E2"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242,824</w:t>
            </w:r>
          </w:p>
        </w:tc>
      </w:tr>
      <w:tr w:rsidR="00425C74" w:rsidRPr="000E117C" w14:paraId="487EE6E1" w14:textId="77777777" w:rsidTr="00C21FEC">
        <w:trPr>
          <w:trHeight w:hRule="exact" w:val="300"/>
        </w:trPr>
        <w:tc>
          <w:tcPr>
            <w:tcW w:w="2443" w:type="dxa"/>
            <w:shd w:val="clear" w:color="auto" w:fill="auto"/>
            <w:noWrap/>
            <w:vAlign w:val="bottom"/>
            <w:hideMark/>
          </w:tcPr>
          <w:p w14:paraId="5839A079"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2"/>
                <w:lang w:val="en-US"/>
              </w:rPr>
              <w:t>Caerphilly</w:t>
            </w:r>
            <w:proofErr w:type="spellEnd"/>
          </w:p>
        </w:tc>
        <w:tc>
          <w:tcPr>
            <w:tcW w:w="869" w:type="dxa"/>
            <w:shd w:val="clear" w:color="auto" w:fill="auto"/>
            <w:noWrap/>
            <w:vAlign w:val="bottom"/>
            <w:hideMark/>
          </w:tcPr>
          <w:p w14:paraId="35CE27C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24.4%</w:t>
            </w:r>
          </w:p>
        </w:tc>
        <w:tc>
          <w:tcPr>
            <w:tcW w:w="869" w:type="dxa"/>
            <w:shd w:val="clear" w:color="auto" w:fill="auto"/>
            <w:noWrap/>
            <w:vAlign w:val="bottom"/>
            <w:hideMark/>
          </w:tcPr>
          <w:p w14:paraId="40D91E1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43.2%</w:t>
            </w:r>
          </w:p>
        </w:tc>
        <w:tc>
          <w:tcPr>
            <w:tcW w:w="869" w:type="dxa"/>
            <w:shd w:val="clear" w:color="auto" w:fill="auto"/>
            <w:noWrap/>
            <w:vAlign w:val="bottom"/>
            <w:hideMark/>
          </w:tcPr>
          <w:p w14:paraId="64642A8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25.0%</w:t>
            </w:r>
          </w:p>
        </w:tc>
        <w:tc>
          <w:tcPr>
            <w:tcW w:w="745" w:type="dxa"/>
            <w:shd w:val="clear" w:color="auto" w:fill="auto"/>
            <w:noWrap/>
            <w:vAlign w:val="bottom"/>
            <w:hideMark/>
          </w:tcPr>
          <w:p w14:paraId="71C1470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5.7%</w:t>
            </w:r>
          </w:p>
        </w:tc>
        <w:tc>
          <w:tcPr>
            <w:tcW w:w="745" w:type="dxa"/>
            <w:shd w:val="clear" w:color="auto" w:fill="auto"/>
            <w:noWrap/>
            <w:vAlign w:val="bottom"/>
            <w:hideMark/>
          </w:tcPr>
          <w:p w14:paraId="1ECEAF4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1.8%</w:t>
            </w:r>
          </w:p>
        </w:tc>
        <w:tc>
          <w:tcPr>
            <w:tcW w:w="1175" w:type="dxa"/>
            <w:shd w:val="clear" w:color="auto" w:fill="auto"/>
            <w:noWrap/>
            <w:vAlign w:val="bottom"/>
            <w:hideMark/>
          </w:tcPr>
          <w:p w14:paraId="7A2751F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518077C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74,479</w:t>
            </w:r>
          </w:p>
        </w:tc>
      </w:tr>
      <w:tr w:rsidR="00425C74" w:rsidRPr="000E117C" w14:paraId="41AB2044" w14:textId="77777777" w:rsidTr="00C21FEC">
        <w:trPr>
          <w:trHeight w:hRule="exact" w:val="300"/>
        </w:trPr>
        <w:tc>
          <w:tcPr>
            <w:tcW w:w="2443" w:type="dxa"/>
            <w:shd w:val="clear" w:color="auto" w:fill="auto"/>
            <w:noWrap/>
            <w:vAlign w:val="bottom"/>
            <w:hideMark/>
          </w:tcPr>
          <w:p w14:paraId="476C0F51"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2"/>
                <w:lang w:val="en-US"/>
              </w:rPr>
              <w:t>Blaenau</w:t>
            </w:r>
            <w:proofErr w:type="spellEnd"/>
            <w:r w:rsidRPr="000E117C">
              <w:rPr>
                <w:rFonts w:ascii="Verdana" w:hAnsi="Verdana"/>
                <w:i/>
                <w:iCs/>
                <w:color w:val="000000"/>
                <w:sz w:val="20"/>
                <w:szCs w:val="22"/>
                <w:lang w:val="en-US"/>
              </w:rPr>
              <w:t xml:space="preserve"> Gwent</w:t>
            </w:r>
          </w:p>
        </w:tc>
        <w:tc>
          <w:tcPr>
            <w:tcW w:w="869" w:type="dxa"/>
            <w:shd w:val="clear" w:color="auto" w:fill="auto"/>
            <w:noWrap/>
            <w:vAlign w:val="bottom"/>
            <w:hideMark/>
          </w:tcPr>
          <w:p w14:paraId="17947E8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29.0%</w:t>
            </w:r>
          </w:p>
        </w:tc>
        <w:tc>
          <w:tcPr>
            <w:tcW w:w="869" w:type="dxa"/>
            <w:shd w:val="clear" w:color="auto" w:fill="auto"/>
            <w:noWrap/>
            <w:vAlign w:val="bottom"/>
            <w:hideMark/>
          </w:tcPr>
          <w:p w14:paraId="36C5D9C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43.8%</w:t>
            </w:r>
          </w:p>
        </w:tc>
        <w:tc>
          <w:tcPr>
            <w:tcW w:w="869" w:type="dxa"/>
            <w:shd w:val="clear" w:color="auto" w:fill="auto"/>
            <w:noWrap/>
            <w:vAlign w:val="bottom"/>
            <w:hideMark/>
          </w:tcPr>
          <w:p w14:paraId="5F417D7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20.9%</w:t>
            </w:r>
          </w:p>
        </w:tc>
        <w:tc>
          <w:tcPr>
            <w:tcW w:w="745" w:type="dxa"/>
            <w:shd w:val="clear" w:color="auto" w:fill="auto"/>
            <w:noWrap/>
            <w:vAlign w:val="bottom"/>
            <w:hideMark/>
          </w:tcPr>
          <w:p w14:paraId="6E78137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4.9%</w:t>
            </w:r>
          </w:p>
        </w:tc>
        <w:tc>
          <w:tcPr>
            <w:tcW w:w="745" w:type="dxa"/>
            <w:shd w:val="clear" w:color="auto" w:fill="auto"/>
            <w:noWrap/>
            <w:vAlign w:val="bottom"/>
            <w:hideMark/>
          </w:tcPr>
          <w:p w14:paraId="0F8F2A5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1.5%</w:t>
            </w:r>
          </w:p>
        </w:tc>
        <w:tc>
          <w:tcPr>
            <w:tcW w:w="1175" w:type="dxa"/>
            <w:shd w:val="clear" w:color="auto" w:fill="auto"/>
            <w:noWrap/>
            <w:vAlign w:val="bottom"/>
            <w:hideMark/>
          </w:tcPr>
          <w:p w14:paraId="02577C4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7146BC1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30,416</w:t>
            </w:r>
          </w:p>
        </w:tc>
      </w:tr>
      <w:tr w:rsidR="00425C74" w:rsidRPr="000E117C" w14:paraId="7108685E" w14:textId="77777777" w:rsidTr="00C21FEC">
        <w:trPr>
          <w:trHeight w:hRule="exact" w:val="300"/>
        </w:trPr>
        <w:tc>
          <w:tcPr>
            <w:tcW w:w="2443" w:type="dxa"/>
            <w:shd w:val="clear" w:color="auto" w:fill="auto"/>
            <w:noWrap/>
            <w:vAlign w:val="bottom"/>
            <w:hideMark/>
          </w:tcPr>
          <w:p w14:paraId="5D01B3FB"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2"/>
                <w:lang w:val="en-US"/>
              </w:rPr>
              <w:t>Torfaen</w:t>
            </w:r>
            <w:proofErr w:type="spellEnd"/>
          </w:p>
        </w:tc>
        <w:tc>
          <w:tcPr>
            <w:tcW w:w="869" w:type="dxa"/>
            <w:shd w:val="clear" w:color="auto" w:fill="auto"/>
            <w:noWrap/>
            <w:vAlign w:val="bottom"/>
            <w:hideMark/>
          </w:tcPr>
          <w:p w14:paraId="256297E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23.6%</w:t>
            </w:r>
          </w:p>
        </w:tc>
        <w:tc>
          <w:tcPr>
            <w:tcW w:w="869" w:type="dxa"/>
            <w:shd w:val="clear" w:color="auto" w:fill="auto"/>
            <w:noWrap/>
            <w:vAlign w:val="bottom"/>
            <w:hideMark/>
          </w:tcPr>
          <w:p w14:paraId="5269313C"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43.5%</w:t>
            </w:r>
          </w:p>
        </w:tc>
        <w:tc>
          <w:tcPr>
            <w:tcW w:w="869" w:type="dxa"/>
            <w:shd w:val="clear" w:color="auto" w:fill="auto"/>
            <w:noWrap/>
            <w:vAlign w:val="bottom"/>
            <w:hideMark/>
          </w:tcPr>
          <w:p w14:paraId="2892A1D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24.9%</w:t>
            </w:r>
          </w:p>
        </w:tc>
        <w:tc>
          <w:tcPr>
            <w:tcW w:w="745" w:type="dxa"/>
            <w:shd w:val="clear" w:color="auto" w:fill="auto"/>
            <w:noWrap/>
            <w:vAlign w:val="bottom"/>
            <w:hideMark/>
          </w:tcPr>
          <w:p w14:paraId="1C5877A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6.0%</w:t>
            </w:r>
          </w:p>
        </w:tc>
        <w:tc>
          <w:tcPr>
            <w:tcW w:w="745" w:type="dxa"/>
            <w:shd w:val="clear" w:color="auto" w:fill="auto"/>
            <w:noWrap/>
            <w:vAlign w:val="bottom"/>
            <w:hideMark/>
          </w:tcPr>
          <w:p w14:paraId="08F3D9E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2.1%</w:t>
            </w:r>
          </w:p>
        </w:tc>
        <w:tc>
          <w:tcPr>
            <w:tcW w:w="1175" w:type="dxa"/>
            <w:shd w:val="clear" w:color="auto" w:fill="auto"/>
            <w:noWrap/>
            <w:vAlign w:val="bottom"/>
            <w:hideMark/>
          </w:tcPr>
          <w:p w14:paraId="0DFB3349"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78EB2C1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38,524</w:t>
            </w:r>
          </w:p>
        </w:tc>
      </w:tr>
      <w:tr w:rsidR="00425C74" w:rsidRPr="000E117C" w14:paraId="21A10A86" w14:textId="77777777" w:rsidTr="00C21FEC">
        <w:trPr>
          <w:trHeight w:hRule="exact" w:val="300"/>
        </w:trPr>
        <w:tc>
          <w:tcPr>
            <w:tcW w:w="2443" w:type="dxa"/>
            <w:shd w:val="clear" w:color="auto" w:fill="auto"/>
            <w:noWrap/>
            <w:vAlign w:val="bottom"/>
            <w:hideMark/>
          </w:tcPr>
          <w:p w14:paraId="6A98C685"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2"/>
                <w:lang w:val="en-US"/>
              </w:rPr>
              <w:t>Monmouthshire</w:t>
            </w:r>
            <w:proofErr w:type="spellEnd"/>
          </w:p>
        </w:tc>
        <w:tc>
          <w:tcPr>
            <w:tcW w:w="869" w:type="dxa"/>
            <w:shd w:val="clear" w:color="auto" w:fill="auto"/>
            <w:noWrap/>
            <w:vAlign w:val="bottom"/>
            <w:hideMark/>
          </w:tcPr>
          <w:p w14:paraId="0204DD9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15.2%</w:t>
            </w:r>
          </w:p>
        </w:tc>
        <w:tc>
          <w:tcPr>
            <w:tcW w:w="869" w:type="dxa"/>
            <w:shd w:val="clear" w:color="auto" w:fill="auto"/>
            <w:noWrap/>
            <w:vAlign w:val="bottom"/>
            <w:hideMark/>
          </w:tcPr>
          <w:p w14:paraId="0FB4EA2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40.2%</w:t>
            </w:r>
          </w:p>
        </w:tc>
        <w:tc>
          <w:tcPr>
            <w:tcW w:w="869" w:type="dxa"/>
            <w:shd w:val="clear" w:color="auto" w:fill="auto"/>
            <w:noWrap/>
            <w:vAlign w:val="bottom"/>
            <w:hideMark/>
          </w:tcPr>
          <w:p w14:paraId="2A88ACC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32.5%</w:t>
            </w:r>
          </w:p>
        </w:tc>
        <w:tc>
          <w:tcPr>
            <w:tcW w:w="745" w:type="dxa"/>
            <w:shd w:val="clear" w:color="auto" w:fill="auto"/>
            <w:noWrap/>
            <w:vAlign w:val="bottom"/>
            <w:hideMark/>
          </w:tcPr>
          <w:p w14:paraId="5858EC0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8.7%</w:t>
            </w:r>
          </w:p>
        </w:tc>
        <w:tc>
          <w:tcPr>
            <w:tcW w:w="745" w:type="dxa"/>
            <w:shd w:val="clear" w:color="auto" w:fill="auto"/>
            <w:noWrap/>
            <w:vAlign w:val="bottom"/>
            <w:hideMark/>
          </w:tcPr>
          <w:p w14:paraId="666419B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3.4%</w:t>
            </w:r>
          </w:p>
        </w:tc>
        <w:tc>
          <w:tcPr>
            <w:tcW w:w="1175" w:type="dxa"/>
            <w:shd w:val="clear" w:color="auto" w:fill="auto"/>
            <w:noWrap/>
            <w:vAlign w:val="bottom"/>
            <w:hideMark/>
          </w:tcPr>
          <w:p w14:paraId="293C6D4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0E3851A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38,233</w:t>
            </w:r>
          </w:p>
        </w:tc>
      </w:tr>
      <w:tr w:rsidR="00425C74" w:rsidRPr="000E117C" w14:paraId="185573B6" w14:textId="77777777" w:rsidTr="00C21FEC">
        <w:trPr>
          <w:trHeight w:hRule="exact" w:val="300"/>
        </w:trPr>
        <w:tc>
          <w:tcPr>
            <w:tcW w:w="2443" w:type="dxa"/>
            <w:shd w:val="clear" w:color="auto" w:fill="auto"/>
            <w:noWrap/>
            <w:vAlign w:val="bottom"/>
            <w:hideMark/>
          </w:tcPr>
          <w:p w14:paraId="3A1D7984"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2"/>
                <w:lang w:val="en-US"/>
              </w:rPr>
              <w:lastRenderedPageBreak/>
              <w:t>Newport</w:t>
            </w:r>
          </w:p>
        </w:tc>
        <w:tc>
          <w:tcPr>
            <w:tcW w:w="869" w:type="dxa"/>
            <w:shd w:val="clear" w:color="auto" w:fill="auto"/>
            <w:noWrap/>
            <w:vAlign w:val="bottom"/>
            <w:hideMark/>
          </w:tcPr>
          <w:p w14:paraId="17CB97B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27.9%</w:t>
            </w:r>
          </w:p>
        </w:tc>
        <w:tc>
          <w:tcPr>
            <w:tcW w:w="869" w:type="dxa"/>
            <w:shd w:val="clear" w:color="auto" w:fill="auto"/>
            <w:noWrap/>
            <w:vAlign w:val="bottom"/>
            <w:hideMark/>
          </w:tcPr>
          <w:p w14:paraId="788739D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41.4%</w:t>
            </w:r>
          </w:p>
        </w:tc>
        <w:tc>
          <w:tcPr>
            <w:tcW w:w="869" w:type="dxa"/>
            <w:shd w:val="clear" w:color="auto" w:fill="auto"/>
            <w:noWrap/>
            <w:vAlign w:val="bottom"/>
            <w:hideMark/>
          </w:tcPr>
          <w:p w14:paraId="76C3C7F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23.7%</w:t>
            </w:r>
          </w:p>
        </w:tc>
        <w:tc>
          <w:tcPr>
            <w:tcW w:w="745" w:type="dxa"/>
            <w:shd w:val="clear" w:color="auto" w:fill="auto"/>
            <w:noWrap/>
            <w:vAlign w:val="bottom"/>
            <w:hideMark/>
          </w:tcPr>
          <w:p w14:paraId="4FDA881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5.2%</w:t>
            </w:r>
          </w:p>
        </w:tc>
        <w:tc>
          <w:tcPr>
            <w:tcW w:w="745" w:type="dxa"/>
            <w:shd w:val="clear" w:color="auto" w:fill="auto"/>
            <w:noWrap/>
            <w:vAlign w:val="bottom"/>
            <w:hideMark/>
          </w:tcPr>
          <w:p w14:paraId="0DA30FC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1.7%</w:t>
            </w:r>
          </w:p>
        </w:tc>
        <w:tc>
          <w:tcPr>
            <w:tcW w:w="1175" w:type="dxa"/>
            <w:shd w:val="clear" w:color="auto" w:fill="auto"/>
            <w:noWrap/>
            <w:vAlign w:val="bottom"/>
            <w:hideMark/>
          </w:tcPr>
          <w:p w14:paraId="43A20F9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3B3C6E0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61,172</w:t>
            </w:r>
          </w:p>
        </w:tc>
      </w:tr>
      <w:tr w:rsidR="00425C74" w:rsidRPr="000E117C" w14:paraId="70284C60" w14:textId="77777777" w:rsidTr="00C21FEC">
        <w:trPr>
          <w:trHeight w:hRule="exact" w:val="300"/>
        </w:trPr>
        <w:tc>
          <w:tcPr>
            <w:tcW w:w="2443" w:type="dxa"/>
            <w:shd w:val="clear" w:color="auto" w:fill="auto"/>
            <w:noWrap/>
            <w:vAlign w:val="bottom"/>
            <w:hideMark/>
          </w:tcPr>
          <w:p w14:paraId="2144C1F2"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Cardiff and Vale UHB</w:t>
            </w:r>
          </w:p>
        </w:tc>
        <w:tc>
          <w:tcPr>
            <w:tcW w:w="869" w:type="dxa"/>
            <w:shd w:val="clear" w:color="auto" w:fill="auto"/>
            <w:noWrap/>
            <w:vAlign w:val="bottom"/>
            <w:hideMark/>
          </w:tcPr>
          <w:p w14:paraId="65D1169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26.4%</w:t>
            </w:r>
          </w:p>
        </w:tc>
        <w:tc>
          <w:tcPr>
            <w:tcW w:w="869" w:type="dxa"/>
            <w:shd w:val="clear" w:color="auto" w:fill="auto"/>
            <w:noWrap/>
            <w:vAlign w:val="bottom"/>
            <w:hideMark/>
          </w:tcPr>
          <w:p w14:paraId="215B6E4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42.9%</w:t>
            </w:r>
          </w:p>
        </w:tc>
        <w:tc>
          <w:tcPr>
            <w:tcW w:w="869" w:type="dxa"/>
            <w:shd w:val="clear" w:color="auto" w:fill="auto"/>
            <w:noWrap/>
            <w:vAlign w:val="bottom"/>
            <w:hideMark/>
          </w:tcPr>
          <w:p w14:paraId="4BA1623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24.1%</w:t>
            </w:r>
          </w:p>
        </w:tc>
        <w:tc>
          <w:tcPr>
            <w:tcW w:w="745" w:type="dxa"/>
            <w:shd w:val="clear" w:color="auto" w:fill="auto"/>
            <w:noWrap/>
            <w:vAlign w:val="bottom"/>
            <w:hideMark/>
          </w:tcPr>
          <w:p w14:paraId="0941D77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5.0%</w:t>
            </w:r>
          </w:p>
        </w:tc>
        <w:tc>
          <w:tcPr>
            <w:tcW w:w="745" w:type="dxa"/>
            <w:shd w:val="clear" w:color="auto" w:fill="auto"/>
            <w:noWrap/>
            <w:vAlign w:val="bottom"/>
            <w:hideMark/>
          </w:tcPr>
          <w:p w14:paraId="3DF2960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1.6%</w:t>
            </w:r>
          </w:p>
        </w:tc>
        <w:tc>
          <w:tcPr>
            <w:tcW w:w="1175" w:type="dxa"/>
            <w:shd w:val="clear" w:color="auto" w:fill="auto"/>
            <w:noWrap/>
            <w:vAlign w:val="bottom"/>
            <w:hideMark/>
          </w:tcPr>
          <w:p w14:paraId="1E72D9DF"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100.0%</w:t>
            </w:r>
          </w:p>
        </w:tc>
        <w:tc>
          <w:tcPr>
            <w:tcW w:w="1311" w:type="dxa"/>
            <w:shd w:val="clear" w:color="auto" w:fill="auto"/>
            <w:noWrap/>
            <w:vAlign w:val="bottom"/>
            <w:hideMark/>
          </w:tcPr>
          <w:p w14:paraId="371D0A7E"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196,062</w:t>
            </w:r>
          </w:p>
        </w:tc>
      </w:tr>
      <w:tr w:rsidR="00425C74" w:rsidRPr="000E117C" w14:paraId="626E8CFD" w14:textId="77777777" w:rsidTr="00C21FEC">
        <w:trPr>
          <w:trHeight w:hRule="exact" w:val="300"/>
        </w:trPr>
        <w:tc>
          <w:tcPr>
            <w:tcW w:w="2443" w:type="dxa"/>
            <w:shd w:val="clear" w:color="auto" w:fill="auto"/>
            <w:noWrap/>
            <w:vAlign w:val="bottom"/>
            <w:hideMark/>
          </w:tcPr>
          <w:p w14:paraId="5506FF73"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2"/>
                <w:lang w:val="en-US"/>
              </w:rPr>
              <w:t xml:space="preserve">Vale of </w:t>
            </w:r>
            <w:proofErr w:type="spellStart"/>
            <w:r w:rsidRPr="000E117C">
              <w:rPr>
                <w:rFonts w:ascii="Verdana" w:hAnsi="Verdana"/>
                <w:i/>
                <w:iCs/>
                <w:color w:val="000000"/>
                <w:sz w:val="20"/>
                <w:szCs w:val="22"/>
                <w:lang w:val="en-US"/>
              </w:rPr>
              <w:t>Glamorgan</w:t>
            </w:r>
            <w:proofErr w:type="spellEnd"/>
          </w:p>
        </w:tc>
        <w:tc>
          <w:tcPr>
            <w:tcW w:w="869" w:type="dxa"/>
            <w:shd w:val="clear" w:color="auto" w:fill="auto"/>
            <w:noWrap/>
            <w:vAlign w:val="bottom"/>
            <w:hideMark/>
          </w:tcPr>
          <w:p w14:paraId="0882D34B"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19.4%</w:t>
            </w:r>
          </w:p>
        </w:tc>
        <w:tc>
          <w:tcPr>
            <w:tcW w:w="869" w:type="dxa"/>
            <w:shd w:val="clear" w:color="auto" w:fill="auto"/>
            <w:noWrap/>
            <w:vAlign w:val="bottom"/>
            <w:hideMark/>
          </w:tcPr>
          <w:p w14:paraId="1DF0A90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43.0%</w:t>
            </w:r>
          </w:p>
        </w:tc>
        <w:tc>
          <w:tcPr>
            <w:tcW w:w="869" w:type="dxa"/>
            <w:shd w:val="clear" w:color="auto" w:fill="auto"/>
            <w:noWrap/>
            <w:vAlign w:val="bottom"/>
            <w:hideMark/>
          </w:tcPr>
          <w:p w14:paraId="34916801"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28.8%</w:t>
            </w:r>
          </w:p>
        </w:tc>
        <w:tc>
          <w:tcPr>
            <w:tcW w:w="745" w:type="dxa"/>
            <w:shd w:val="clear" w:color="auto" w:fill="auto"/>
            <w:noWrap/>
            <w:vAlign w:val="bottom"/>
            <w:hideMark/>
          </w:tcPr>
          <w:p w14:paraId="494FCED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6.7%</w:t>
            </w:r>
          </w:p>
        </w:tc>
        <w:tc>
          <w:tcPr>
            <w:tcW w:w="745" w:type="dxa"/>
            <w:shd w:val="clear" w:color="auto" w:fill="auto"/>
            <w:noWrap/>
            <w:vAlign w:val="bottom"/>
            <w:hideMark/>
          </w:tcPr>
          <w:p w14:paraId="15C0190E"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2.2%</w:t>
            </w:r>
          </w:p>
        </w:tc>
        <w:tc>
          <w:tcPr>
            <w:tcW w:w="1175" w:type="dxa"/>
            <w:shd w:val="clear" w:color="auto" w:fill="auto"/>
            <w:noWrap/>
            <w:vAlign w:val="bottom"/>
            <w:hideMark/>
          </w:tcPr>
          <w:p w14:paraId="058DF1F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3188A6A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53,505</w:t>
            </w:r>
          </w:p>
        </w:tc>
      </w:tr>
      <w:tr w:rsidR="00425C74" w:rsidRPr="000E117C" w14:paraId="12D09BE6" w14:textId="77777777" w:rsidTr="00C21FEC">
        <w:trPr>
          <w:trHeight w:hRule="exact" w:val="300"/>
        </w:trPr>
        <w:tc>
          <w:tcPr>
            <w:tcW w:w="2443" w:type="dxa"/>
            <w:shd w:val="clear" w:color="auto" w:fill="auto"/>
            <w:noWrap/>
            <w:vAlign w:val="bottom"/>
            <w:hideMark/>
          </w:tcPr>
          <w:p w14:paraId="4623BFD2"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2"/>
                <w:lang w:val="en-US"/>
              </w:rPr>
              <w:t>Cardiff</w:t>
            </w:r>
          </w:p>
        </w:tc>
        <w:tc>
          <w:tcPr>
            <w:tcW w:w="869" w:type="dxa"/>
            <w:shd w:val="clear" w:color="auto" w:fill="auto"/>
            <w:noWrap/>
            <w:vAlign w:val="bottom"/>
            <w:hideMark/>
          </w:tcPr>
          <w:p w14:paraId="6482A31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29.0%</w:t>
            </w:r>
          </w:p>
        </w:tc>
        <w:tc>
          <w:tcPr>
            <w:tcW w:w="869" w:type="dxa"/>
            <w:shd w:val="clear" w:color="auto" w:fill="auto"/>
            <w:noWrap/>
            <w:vAlign w:val="bottom"/>
            <w:hideMark/>
          </w:tcPr>
          <w:p w14:paraId="02B6C3D5"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42.9%</w:t>
            </w:r>
          </w:p>
        </w:tc>
        <w:tc>
          <w:tcPr>
            <w:tcW w:w="869" w:type="dxa"/>
            <w:shd w:val="clear" w:color="auto" w:fill="auto"/>
            <w:noWrap/>
            <w:vAlign w:val="bottom"/>
            <w:hideMark/>
          </w:tcPr>
          <w:p w14:paraId="3883712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22.3%</w:t>
            </w:r>
          </w:p>
        </w:tc>
        <w:tc>
          <w:tcPr>
            <w:tcW w:w="745" w:type="dxa"/>
            <w:shd w:val="clear" w:color="auto" w:fill="auto"/>
            <w:noWrap/>
            <w:vAlign w:val="bottom"/>
            <w:hideMark/>
          </w:tcPr>
          <w:p w14:paraId="25980C62"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4.4%</w:t>
            </w:r>
          </w:p>
        </w:tc>
        <w:tc>
          <w:tcPr>
            <w:tcW w:w="745" w:type="dxa"/>
            <w:shd w:val="clear" w:color="auto" w:fill="auto"/>
            <w:noWrap/>
            <w:vAlign w:val="bottom"/>
            <w:hideMark/>
          </w:tcPr>
          <w:p w14:paraId="551FCCB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1.4%</w:t>
            </w:r>
          </w:p>
        </w:tc>
        <w:tc>
          <w:tcPr>
            <w:tcW w:w="1175" w:type="dxa"/>
            <w:shd w:val="clear" w:color="auto" w:fill="auto"/>
            <w:noWrap/>
            <w:vAlign w:val="bottom"/>
            <w:hideMark/>
          </w:tcPr>
          <w:p w14:paraId="3FFD5C6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75CE9FAD"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142,557</w:t>
            </w:r>
          </w:p>
        </w:tc>
      </w:tr>
      <w:tr w:rsidR="00425C74" w:rsidRPr="000E117C" w14:paraId="252BC6AB" w14:textId="77777777" w:rsidTr="00C21FEC">
        <w:trPr>
          <w:trHeight w:hRule="exact" w:val="300"/>
        </w:trPr>
        <w:tc>
          <w:tcPr>
            <w:tcW w:w="2443" w:type="dxa"/>
            <w:shd w:val="clear" w:color="auto" w:fill="auto"/>
            <w:noWrap/>
            <w:vAlign w:val="bottom"/>
            <w:hideMark/>
          </w:tcPr>
          <w:p w14:paraId="67F97755"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Cwm Taf UHB</w:t>
            </w:r>
          </w:p>
        </w:tc>
        <w:tc>
          <w:tcPr>
            <w:tcW w:w="869" w:type="dxa"/>
            <w:shd w:val="clear" w:color="auto" w:fill="auto"/>
            <w:noWrap/>
            <w:vAlign w:val="bottom"/>
            <w:hideMark/>
          </w:tcPr>
          <w:p w14:paraId="6863DB3B"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27.6%</w:t>
            </w:r>
          </w:p>
        </w:tc>
        <w:tc>
          <w:tcPr>
            <w:tcW w:w="869" w:type="dxa"/>
            <w:shd w:val="clear" w:color="auto" w:fill="auto"/>
            <w:noWrap/>
            <w:vAlign w:val="bottom"/>
            <w:hideMark/>
          </w:tcPr>
          <w:p w14:paraId="59DE6117"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42.7%</w:t>
            </w:r>
          </w:p>
        </w:tc>
        <w:tc>
          <w:tcPr>
            <w:tcW w:w="869" w:type="dxa"/>
            <w:shd w:val="clear" w:color="auto" w:fill="auto"/>
            <w:noWrap/>
            <w:vAlign w:val="bottom"/>
            <w:hideMark/>
          </w:tcPr>
          <w:p w14:paraId="433F9675"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22.9%</w:t>
            </w:r>
          </w:p>
        </w:tc>
        <w:tc>
          <w:tcPr>
            <w:tcW w:w="745" w:type="dxa"/>
            <w:shd w:val="clear" w:color="auto" w:fill="auto"/>
            <w:noWrap/>
            <w:vAlign w:val="bottom"/>
            <w:hideMark/>
          </w:tcPr>
          <w:p w14:paraId="797BDDF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5.2%</w:t>
            </w:r>
          </w:p>
        </w:tc>
        <w:tc>
          <w:tcPr>
            <w:tcW w:w="745" w:type="dxa"/>
            <w:shd w:val="clear" w:color="auto" w:fill="auto"/>
            <w:noWrap/>
            <w:vAlign w:val="bottom"/>
            <w:hideMark/>
          </w:tcPr>
          <w:p w14:paraId="1FFE65C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1.6%</w:t>
            </w:r>
          </w:p>
        </w:tc>
        <w:tc>
          <w:tcPr>
            <w:tcW w:w="1175" w:type="dxa"/>
            <w:shd w:val="clear" w:color="auto" w:fill="auto"/>
            <w:noWrap/>
            <w:vAlign w:val="bottom"/>
            <w:hideMark/>
          </w:tcPr>
          <w:p w14:paraId="7D936D9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100.0%</w:t>
            </w:r>
          </w:p>
        </w:tc>
        <w:tc>
          <w:tcPr>
            <w:tcW w:w="1311" w:type="dxa"/>
            <w:shd w:val="clear" w:color="auto" w:fill="auto"/>
            <w:noWrap/>
            <w:vAlign w:val="bottom"/>
            <w:hideMark/>
          </w:tcPr>
          <w:p w14:paraId="1BE11693"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123,927</w:t>
            </w:r>
          </w:p>
        </w:tc>
      </w:tr>
      <w:tr w:rsidR="00425C74" w:rsidRPr="000E117C" w14:paraId="4A3BCA6B" w14:textId="77777777" w:rsidTr="00C21FEC">
        <w:trPr>
          <w:trHeight w:hRule="exact" w:val="300"/>
        </w:trPr>
        <w:tc>
          <w:tcPr>
            <w:tcW w:w="2443" w:type="dxa"/>
            <w:shd w:val="clear" w:color="auto" w:fill="auto"/>
            <w:noWrap/>
            <w:vAlign w:val="bottom"/>
            <w:hideMark/>
          </w:tcPr>
          <w:p w14:paraId="1B71499E" w14:textId="77777777" w:rsidR="00425C74" w:rsidRPr="000E117C" w:rsidRDefault="00425C74" w:rsidP="00425C74">
            <w:pPr>
              <w:rPr>
                <w:rFonts w:ascii="Verdana" w:hAnsi="Verdana"/>
                <w:i/>
                <w:iCs/>
                <w:color w:val="000000"/>
                <w:sz w:val="20"/>
                <w:szCs w:val="20"/>
              </w:rPr>
            </w:pPr>
            <w:r w:rsidRPr="000E117C">
              <w:rPr>
                <w:rFonts w:ascii="Verdana" w:hAnsi="Verdana"/>
                <w:i/>
                <w:iCs/>
                <w:color w:val="000000"/>
                <w:sz w:val="20"/>
                <w:szCs w:val="22"/>
                <w:lang w:val="en-US"/>
              </w:rPr>
              <w:t>Rhondda Cynon Taf</w:t>
            </w:r>
          </w:p>
        </w:tc>
        <w:tc>
          <w:tcPr>
            <w:tcW w:w="869" w:type="dxa"/>
            <w:shd w:val="clear" w:color="auto" w:fill="auto"/>
            <w:noWrap/>
            <w:vAlign w:val="bottom"/>
            <w:hideMark/>
          </w:tcPr>
          <w:p w14:paraId="6421EE6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27.1%</w:t>
            </w:r>
          </w:p>
        </w:tc>
        <w:tc>
          <w:tcPr>
            <w:tcW w:w="869" w:type="dxa"/>
            <w:shd w:val="clear" w:color="auto" w:fill="auto"/>
            <w:noWrap/>
            <w:vAlign w:val="bottom"/>
            <w:hideMark/>
          </w:tcPr>
          <w:p w14:paraId="04C4454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42.6%</w:t>
            </w:r>
          </w:p>
        </w:tc>
        <w:tc>
          <w:tcPr>
            <w:tcW w:w="869" w:type="dxa"/>
            <w:shd w:val="clear" w:color="auto" w:fill="auto"/>
            <w:noWrap/>
            <w:vAlign w:val="bottom"/>
            <w:hideMark/>
          </w:tcPr>
          <w:p w14:paraId="78A39148"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23.4%</w:t>
            </w:r>
          </w:p>
        </w:tc>
        <w:tc>
          <w:tcPr>
            <w:tcW w:w="745" w:type="dxa"/>
            <w:shd w:val="clear" w:color="auto" w:fill="auto"/>
            <w:noWrap/>
            <w:vAlign w:val="bottom"/>
            <w:hideMark/>
          </w:tcPr>
          <w:p w14:paraId="36097017"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5.3%</w:t>
            </w:r>
          </w:p>
        </w:tc>
        <w:tc>
          <w:tcPr>
            <w:tcW w:w="745" w:type="dxa"/>
            <w:shd w:val="clear" w:color="auto" w:fill="auto"/>
            <w:noWrap/>
            <w:vAlign w:val="bottom"/>
            <w:hideMark/>
          </w:tcPr>
          <w:p w14:paraId="231E02CA"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1.6%</w:t>
            </w:r>
          </w:p>
        </w:tc>
        <w:tc>
          <w:tcPr>
            <w:tcW w:w="1175" w:type="dxa"/>
            <w:shd w:val="clear" w:color="auto" w:fill="auto"/>
            <w:noWrap/>
            <w:vAlign w:val="bottom"/>
            <w:hideMark/>
          </w:tcPr>
          <w:p w14:paraId="515DD074"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1712E083"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99,663</w:t>
            </w:r>
          </w:p>
        </w:tc>
      </w:tr>
      <w:tr w:rsidR="00425C74" w:rsidRPr="000E117C" w14:paraId="201EF9C8" w14:textId="77777777" w:rsidTr="00C21FEC">
        <w:trPr>
          <w:trHeight w:hRule="exact" w:val="300"/>
        </w:trPr>
        <w:tc>
          <w:tcPr>
            <w:tcW w:w="2443" w:type="dxa"/>
            <w:shd w:val="clear" w:color="auto" w:fill="auto"/>
            <w:noWrap/>
            <w:vAlign w:val="bottom"/>
            <w:hideMark/>
          </w:tcPr>
          <w:p w14:paraId="72D159FD" w14:textId="77777777" w:rsidR="00425C74" w:rsidRPr="000E117C" w:rsidRDefault="00425C74" w:rsidP="00425C74">
            <w:pPr>
              <w:rPr>
                <w:rFonts w:ascii="Verdana" w:hAnsi="Verdana"/>
                <w:i/>
                <w:iCs/>
                <w:color w:val="000000"/>
                <w:sz w:val="20"/>
                <w:szCs w:val="20"/>
              </w:rPr>
            </w:pPr>
            <w:proofErr w:type="spellStart"/>
            <w:r w:rsidRPr="000E117C">
              <w:rPr>
                <w:rFonts w:ascii="Verdana" w:hAnsi="Verdana"/>
                <w:i/>
                <w:iCs/>
                <w:color w:val="000000"/>
                <w:sz w:val="20"/>
                <w:szCs w:val="22"/>
                <w:lang w:val="en-US"/>
              </w:rPr>
              <w:t>Merthyr</w:t>
            </w:r>
            <w:proofErr w:type="spellEnd"/>
            <w:r w:rsidRPr="000E117C">
              <w:rPr>
                <w:rFonts w:ascii="Verdana" w:hAnsi="Verdana"/>
                <w:i/>
                <w:iCs/>
                <w:color w:val="000000"/>
                <w:sz w:val="20"/>
                <w:szCs w:val="22"/>
                <w:lang w:val="en-US"/>
              </w:rPr>
              <w:t xml:space="preserve"> </w:t>
            </w:r>
            <w:proofErr w:type="spellStart"/>
            <w:r w:rsidRPr="000E117C">
              <w:rPr>
                <w:rFonts w:ascii="Verdana" w:hAnsi="Verdana"/>
                <w:i/>
                <w:iCs/>
                <w:color w:val="000000"/>
                <w:sz w:val="20"/>
                <w:szCs w:val="22"/>
                <w:lang w:val="en-US"/>
              </w:rPr>
              <w:t>Tydfil</w:t>
            </w:r>
            <w:proofErr w:type="spellEnd"/>
          </w:p>
        </w:tc>
        <w:tc>
          <w:tcPr>
            <w:tcW w:w="869" w:type="dxa"/>
            <w:shd w:val="clear" w:color="auto" w:fill="auto"/>
            <w:noWrap/>
            <w:vAlign w:val="bottom"/>
            <w:hideMark/>
          </w:tcPr>
          <w:p w14:paraId="6476270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29.7%</w:t>
            </w:r>
          </w:p>
        </w:tc>
        <w:tc>
          <w:tcPr>
            <w:tcW w:w="869" w:type="dxa"/>
            <w:shd w:val="clear" w:color="auto" w:fill="auto"/>
            <w:noWrap/>
            <w:vAlign w:val="bottom"/>
            <w:hideMark/>
          </w:tcPr>
          <w:p w14:paraId="23C556DF"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43.2%</w:t>
            </w:r>
          </w:p>
        </w:tc>
        <w:tc>
          <w:tcPr>
            <w:tcW w:w="869" w:type="dxa"/>
            <w:shd w:val="clear" w:color="auto" w:fill="auto"/>
            <w:noWrap/>
            <w:vAlign w:val="bottom"/>
            <w:hideMark/>
          </w:tcPr>
          <w:p w14:paraId="64A27C7B"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21.0%</w:t>
            </w:r>
          </w:p>
        </w:tc>
        <w:tc>
          <w:tcPr>
            <w:tcW w:w="745" w:type="dxa"/>
            <w:shd w:val="clear" w:color="auto" w:fill="auto"/>
            <w:noWrap/>
            <w:vAlign w:val="bottom"/>
            <w:hideMark/>
          </w:tcPr>
          <w:p w14:paraId="488E61DC"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4.6%</w:t>
            </w:r>
          </w:p>
        </w:tc>
        <w:tc>
          <w:tcPr>
            <w:tcW w:w="745" w:type="dxa"/>
            <w:shd w:val="clear" w:color="auto" w:fill="auto"/>
            <w:noWrap/>
            <w:vAlign w:val="bottom"/>
            <w:hideMark/>
          </w:tcPr>
          <w:p w14:paraId="194D1356"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1.5%</w:t>
            </w:r>
          </w:p>
        </w:tc>
        <w:tc>
          <w:tcPr>
            <w:tcW w:w="1175" w:type="dxa"/>
            <w:shd w:val="clear" w:color="auto" w:fill="auto"/>
            <w:noWrap/>
            <w:vAlign w:val="bottom"/>
            <w:hideMark/>
          </w:tcPr>
          <w:p w14:paraId="3CEB78A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sz w:val="20"/>
                <w:szCs w:val="22"/>
                <w:lang w:val="en-US"/>
              </w:rPr>
              <w:t>100.0%</w:t>
            </w:r>
          </w:p>
        </w:tc>
        <w:tc>
          <w:tcPr>
            <w:tcW w:w="1311" w:type="dxa"/>
            <w:shd w:val="clear" w:color="auto" w:fill="auto"/>
            <w:noWrap/>
            <w:vAlign w:val="bottom"/>
            <w:hideMark/>
          </w:tcPr>
          <w:p w14:paraId="307F5650" w14:textId="77777777" w:rsidR="00425C74" w:rsidRPr="000E117C" w:rsidRDefault="00425C74" w:rsidP="00425C74">
            <w:pPr>
              <w:jc w:val="right"/>
              <w:rPr>
                <w:rFonts w:ascii="Verdana" w:hAnsi="Verdana"/>
                <w:i/>
                <w:iCs/>
                <w:color w:val="000000"/>
                <w:sz w:val="20"/>
                <w:szCs w:val="20"/>
              </w:rPr>
            </w:pPr>
            <w:r w:rsidRPr="000E117C">
              <w:rPr>
                <w:rFonts w:ascii="Verdana" w:hAnsi="Verdana"/>
                <w:i/>
                <w:iCs/>
                <w:color w:val="000000"/>
                <w:w w:val="95"/>
                <w:sz w:val="20"/>
                <w:szCs w:val="22"/>
                <w:lang w:val="en-US"/>
              </w:rPr>
              <w:t>24,264</w:t>
            </w:r>
          </w:p>
        </w:tc>
      </w:tr>
      <w:tr w:rsidR="00425C74" w:rsidRPr="000E117C" w14:paraId="1F184D1D" w14:textId="77777777" w:rsidTr="00C21FEC">
        <w:trPr>
          <w:trHeight w:hRule="exact" w:val="300"/>
        </w:trPr>
        <w:tc>
          <w:tcPr>
            <w:tcW w:w="2443" w:type="dxa"/>
            <w:shd w:val="clear" w:color="auto" w:fill="auto"/>
            <w:noWrap/>
            <w:vAlign w:val="bottom"/>
            <w:hideMark/>
          </w:tcPr>
          <w:p w14:paraId="5F612267"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Powys THB</w:t>
            </w:r>
          </w:p>
        </w:tc>
        <w:tc>
          <w:tcPr>
            <w:tcW w:w="869" w:type="dxa"/>
            <w:shd w:val="clear" w:color="auto" w:fill="auto"/>
            <w:noWrap/>
            <w:vAlign w:val="bottom"/>
            <w:hideMark/>
          </w:tcPr>
          <w:p w14:paraId="2C71C4D4"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15.0%</w:t>
            </w:r>
          </w:p>
        </w:tc>
        <w:tc>
          <w:tcPr>
            <w:tcW w:w="869" w:type="dxa"/>
            <w:shd w:val="clear" w:color="auto" w:fill="auto"/>
            <w:noWrap/>
            <w:vAlign w:val="bottom"/>
            <w:hideMark/>
          </w:tcPr>
          <w:p w14:paraId="2398B2B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42.8%</w:t>
            </w:r>
          </w:p>
        </w:tc>
        <w:tc>
          <w:tcPr>
            <w:tcW w:w="869" w:type="dxa"/>
            <w:shd w:val="clear" w:color="auto" w:fill="auto"/>
            <w:noWrap/>
            <w:vAlign w:val="bottom"/>
            <w:hideMark/>
          </w:tcPr>
          <w:p w14:paraId="340CC4B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30.1%</w:t>
            </w:r>
          </w:p>
        </w:tc>
        <w:tc>
          <w:tcPr>
            <w:tcW w:w="745" w:type="dxa"/>
            <w:shd w:val="clear" w:color="auto" w:fill="auto"/>
            <w:noWrap/>
            <w:vAlign w:val="bottom"/>
            <w:hideMark/>
          </w:tcPr>
          <w:p w14:paraId="68E356B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8.4%</w:t>
            </w:r>
          </w:p>
        </w:tc>
        <w:tc>
          <w:tcPr>
            <w:tcW w:w="745" w:type="dxa"/>
            <w:shd w:val="clear" w:color="auto" w:fill="auto"/>
            <w:noWrap/>
            <w:vAlign w:val="bottom"/>
            <w:hideMark/>
          </w:tcPr>
          <w:p w14:paraId="74830AE3"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3.6%</w:t>
            </w:r>
          </w:p>
        </w:tc>
        <w:tc>
          <w:tcPr>
            <w:tcW w:w="1175" w:type="dxa"/>
            <w:shd w:val="clear" w:color="auto" w:fill="auto"/>
            <w:noWrap/>
            <w:vAlign w:val="bottom"/>
            <w:hideMark/>
          </w:tcPr>
          <w:p w14:paraId="6245A73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100.0%</w:t>
            </w:r>
          </w:p>
        </w:tc>
        <w:tc>
          <w:tcPr>
            <w:tcW w:w="1311" w:type="dxa"/>
            <w:shd w:val="clear" w:color="auto" w:fill="auto"/>
            <w:noWrap/>
            <w:vAlign w:val="bottom"/>
            <w:hideMark/>
          </w:tcPr>
          <w:p w14:paraId="252BDF0A"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58,345</w:t>
            </w:r>
          </w:p>
        </w:tc>
      </w:tr>
      <w:tr w:rsidR="00425C74" w:rsidRPr="000E117C" w14:paraId="347DD294" w14:textId="77777777" w:rsidTr="00C21FEC">
        <w:trPr>
          <w:trHeight w:hRule="exact" w:val="300"/>
        </w:trPr>
        <w:tc>
          <w:tcPr>
            <w:tcW w:w="2443" w:type="dxa"/>
            <w:shd w:val="clear" w:color="auto" w:fill="auto"/>
            <w:noWrap/>
            <w:vAlign w:val="bottom"/>
            <w:hideMark/>
          </w:tcPr>
          <w:p w14:paraId="02531A25"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Area affected*</w:t>
            </w:r>
          </w:p>
        </w:tc>
        <w:tc>
          <w:tcPr>
            <w:tcW w:w="869" w:type="dxa"/>
            <w:shd w:val="clear" w:color="auto" w:fill="auto"/>
            <w:noWrap/>
            <w:vAlign w:val="bottom"/>
            <w:hideMark/>
          </w:tcPr>
          <w:p w14:paraId="491EB14B"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25.2%</w:t>
            </w:r>
          </w:p>
        </w:tc>
        <w:tc>
          <w:tcPr>
            <w:tcW w:w="869" w:type="dxa"/>
            <w:shd w:val="clear" w:color="auto" w:fill="auto"/>
            <w:noWrap/>
            <w:vAlign w:val="bottom"/>
            <w:hideMark/>
          </w:tcPr>
          <w:p w14:paraId="39845866"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42.6%</w:t>
            </w:r>
          </w:p>
        </w:tc>
        <w:tc>
          <w:tcPr>
            <w:tcW w:w="869" w:type="dxa"/>
            <w:shd w:val="clear" w:color="auto" w:fill="auto"/>
            <w:noWrap/>
            <w:vAlign w:val="bottom"/>
            <w:hideMark/>
          </w:tcPr>
          <w:p w14:paraId="25401CD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24.6%</w:t>
            </w:r>
          </w:p>
        </w:tc>
        <w:tc>
          <w:tcPr>
            <w:tcW w:w="745" w:type="dxa"/>
            <w:shd w:val="clear" w:color="auto" w:fill="auto"/>
            <w:noWrap/>
            <w:vAlign w:val="bottom"/>
            <w:hideMark/>
          </w:tcPr>
          <w:p w14:paraId="279F518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5.6%</w:t>
            </w:r>
          </w:p>
        </w:tc>
        <w:tc>
          <w:tcPr>
            <w:tcW w:w="745" w:type="dxa"/>
            <w:shd w:val="clear" w:color="auto" w:fill="auto"/>
            <w:noWrap/>
            <w:vAlign w:val="bottom"/>
            <w:hideMark/>
          </w:tcPr>
          <w:p w14:paraId="26067CD5"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1.9%</w:t>
            </w:r>
          </w:p>
        </w:tc>
        <w:tc>
          <w:tcPr>
            <w:tcW w:w="1175" w:type="dxa"/>
            <w:shd w:val="clear" w:color="auto" w:fill="auto"/>
            <w:noWrap/>
            <w:vAlign w:val="bottom"/>
            <w:hideMark/>
          </w:tcPr>
          <w:p w14:paraId="61EFCF58"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100.0%</w:t>
            </w:r>
          </w:p>
        </w:tc>
        <w:tc>
          <w:tcPr>
            <w:tcW w:w="1311" w:type="dxa"/>
            <w:shd w:val="clear" w:color="auto" w:fill="auto"/>
            <w:noWrap/>
            <w:vAlign w:val="bottom"/>
            <w:hideMark/>
          </w:tcPr>
          <w:p w14:paraId="47F2464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0"/>
              </w:rPr>
              <w:t>591,986</w:t>
            </w:r>
          </w:p>
        </w:tc>
      </w:tr>
      <w:tr w:rsidR="00425C74" w:rsidRPr="000E117C" w14:paraId="4E8BCF52" w14:textId="77777777" w:rsidTr="00C21FEC">
        <w:trPr>
          <w:trHeight w:hRule="exact" w:val="300"/>
        </w:trPr>
        <w:tc>
          <w:tcPr>
            <w:tcW w:w="2443" w:type="dxa"/>
            <w:shd w:val="clear" w:color="auto" w:fill="auto"/>
            <w:noWrap/>
            <w:vAlign w:val="bottom"/>
            <w:hideMark/>
          </w:tcPr>
          <w:p w14:paraId="5A043CA0" w14:textId="77777777" w:rsidR="00425C74" w:rsidRPr="000E117C" w:rsidRDefault="00425C74" w:rsidP="00425C74">
            <w:pPr>
              <w:rPr>
                <w:rFonts w:ascii="Verdana" w:hAnsi="Verdana"/>
                <w:color w:val="000000"/>
                <w:sz w:val="20"/>
                <w:szCs w:val="20"/>
              </w:rPr>
            </w:pPr>
            <w:r w:rsidRPr="000E117C">
              <w:rPr>
                <w:rFonts w:ascii="Verdana" w:hAnsi="Verdana"/>
                <w:color w:val="000000"/>
                <w:sz w:val="20"/>
                <w:szCs w:val="22"/>
                <w:lang w:val="en-US"/>
              </w:rPr>
              <w:t>Wales</w:t>
            </w:r>
          </w:p>
        </w:tc>
        <w:tc>
          <w:tcPr>
            <w:tcW w:w="869" w:type="dxa"/>
            <w:shd w:val="clear" w:color="auto" w:fill="auto"/>
            <w:noWrap/>
            <w:vAlign w:val="bottom"/>
            <w:hideMark/>
          </w:tcPr>
          <w:p w14:paraId="6F969D3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22.9%</w:t>
            </w:r>
          </w:p>
        </w:tc>
        <w:tc>
          <w:tcPr>
            <w:tcW w:w="869" w:type="dxa"/>
            <w:shd w:val="clear" w:color="auto" w:fill="auto"/>
            <w:noWrap/>
            <w:vAlign w:val="bottom"/>
            <w:hideMark/>
          </w:tcPr>
          <w:p w14:paraId="00193D31"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43.0%</w:t>
            </w:r>
          </w:p>
        </w:tc>
        <w:tc>
          <w:tcPr>
            <w:tcW w:w="869" w:type="dxa"/>
            <w:shd w:val="clear" w:color="auto" w:fill="auto"/>
            <w:noWrap/>
            <w:vAlign w:val="bottom"/>
            <w:hideMark/>
          </w:tcPr>
          <w:p w14:paraId="634D32E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25.8%</w:t>
            </w:r>
          </w:p>
        </w:tc>
        <w:tc>
          <w:tcPr>
            <w:tcW w:w="745" w:type="dxa"/>
            <w:shd w:val="clear" w:color="auto" w:fill="auto"/>
            <w:noWrap/>
            <w:vAlign w:val="bottom"/>
            <w:hideMark/>
          </w:tcPr>
          <w:p w14:paraId="23A79BCC"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6.1%</w:t>
            </w:r>
          </w:p>
        </w:tc>
        <w:tc>
          <w:tcPr>
            <w:tcW w:w="745" w:type="dxa"/>
            <w:shd w:val="clear" w:color="auto" w:fill="auto"/>
            <w:noWrap/>
            <w:vAlign w:val="bottom"/>
            <w:hideMark/>
          </w:tcPr>
          <w:p w14:paraId="70109F39"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2.2%</w:t>
            </w:r>
          </w:p>
        </w:tc>
        <w:tc>
          <w:tcPr>
            <w:tcW w:w="1175" w:type="dxa"/>
            <w:shd w:val="clear" w:color="auto" w:fill="auto"/>
            <w:noWrap/>
            <w:vAlign w:val="bottom"/>
            <w:hideMark/>
          </w:tcPr>
          <w:p w14:paraId="48B93DCD"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w w:val="95"/>
                <w:sz w:val="20"/>
                <w:szCs w:val="22"/>
                <w:lang w:val="en-US"/>
              </w:rPr>
              <w:t>100.0%</w:t>
            </w:r>
          </w:p>
        </w:tc>
        <w:tc>
          <w:tcPr>
            <w:tcW w:w="1311" w:type="dxa"/>
            <w:shd w:val="clear" w:color="auto" w:fill="auto"/>
            <w:noWrap/>
            <w:vAlign w:val="bottom"/>
            <w:hideMark/>
          </w:tcPr>
          <w:p w14:paraId="0584B120" w14:textId="77777777" w:rsidR="00425C74" w:rsidRPr="000E117C" w:rsidRDefault="00425C74" w:rsidP="00425C74">
            <w:pPr>
              <w:jc w:val="right"/>
              <w:rPr>
                <w:rFonts w:ascii="Verdana" w:hAnsi="Verdana"/>
                <w:color w:val="000000"/>
                <w:sz w:val="20"/>
                <w:szCs w:val="20"/>
              </w:rPr>
            </w:pPr>
            <w:r w:rsidRPr="000E117C">
              <w:rPr>
                <w:rFonts w:ascii="Verdana" w:hAnsi="Verdana"/>
                <w:color w:val="000000"/>
                <w:sz w:val="20"/>
                <w:szCs w:val="22"/>
                <w:lang w:val="en-US"/>
              </w:rPr>
              <w:t>1,302,676</w:t>
            </w:r>
          </w:p>
        </w:tc>
      </w:tr>
    </w:tbl>
    <w:p w14:paraId="649D6D8E" w14:textId="77777777" w:rsidR="00425C74" w:rsidRPr="000E117C" w:rsidRDefault="00425C74" w:rsidP="00425C74">
      <w:pPr>
        <w:rPr>
          <w:rFonts w:ascii="Verdana" w:hAnsi="Verdana"/>
        </w:rPr>
      </w:pPr>
    </w:p>
    <w:p w14:paraId="0680C897" w14:textId="77777777" w:rsidR="00EC3823" w:rsidRPr="000E117C" w:rsidRDefault="00EC3823" w:rsidP="00EC3823">
      <w:pPr>
        <w:rPr>
          <w:rFonts w:ascii="Verdana" w:hAnsi="Verdana"/>
        </w:rPr>
      </w:pPr>
    </w:p>
    <w:p w14:paraId="159C00D4" w14:textId="77777777" w:rsidR="00996F3E" w:rsidRPr="007A706F" w:rsidRDefault="00996F3E" w:rsidP="00996F3E">
      <w:pPr>
        <w:jc w:val="both"/>
        <w:rPr>
          <w:rFonts w:ascii="Verdana" w:hAnsi="Verdana" w:cs="Arial"/>
          <w:b/>
          <w:color w:val="000000"/>
        </w:rPr>
      </w:pPr>
      <w:r w:rsidRPr="007A706F">
        <w:rPr>
          <w:rFonts w:ascii="Verdana" w:hAnsi="Verdana" w:cs="Arial"/>
          <w:b/>
          <w:color w:val="000000"/>
        </w:rPr>
        <w:t>Human Rights</w:t>
      </w:r>
    </w:p>
    <w:p w14:paraId="1CD892CB" w14:textId="77777777" w:rsidR="00996F3E" w:rsidRDefault="00996F3E" w:rsidP="00996F3E">
      <w:pPr>
        <w:pStyle w:val="NormalWeb"/>
        <w:jc w:val="both"/>
        <w:rPr>
          <w:rFonts w:ascii="Verdana" w:hAnsi="Verdana"/>
        </w:rPr>
      </w:pPr>
      <w:r w:rsidRPr="007A706F">
        <w:rPr>
          <w:rFonts w:ascii="Verdana" w:hAnsi="Verdana"/>
        </w:rPr>
        <w:t xml:space="preserve">At its most basic, care and support offers protection of people's right to life under Article 2 of the European Convention and the aim of this service is to preserve life through advanced treatment delivery.  Reference has also been made to dignity and respect which is relevant to freedom from inhuman and degrading treatment (under Article 3 of the Convention) and the right to respect for private and family life (under Article 8). </w:t>
      </w:r>
    </w:p>
    <w:p w14:paraId="3B843E0D" w14:textId="77777777" w:rsidR="008749F5" w:rsidRDefault="00580719" w:rsidP="00996F3E">
      <w:pPr>
        <w:pStyle w:val="NormalWeb"/>
        <w:jc w:val="both"/>
        <w:rPr>
          <w:rFonts w:ascii="Verdana" w:hAnsi="Verdana"/>
          <w:b/>
        </w:rPr>
      </w:pPr>
      <w:r w:rsidRPr="00582221">
        <w:rPr>
          <w:rFonts w:ascii="Verdana" w:hAnsi="Verdana"/>
          <w:b/>
        </w:rPr>
        <w:t>Right to Life</w:t>
      </w:r>
      <w:r w:rsidR="00582221">
        <w:rPr>
          <w:rFonts w:ascii="Verdana" w:hAnsi="Verdana"/>
          <w:b/>
        </w:rPr>
        <w:t xml:space="preserve"> (</w:t>
      </w:r>
      <w:r w:rsidR="00582221" w:rsidRPr="00582221">
        <w:rPr>
          <w:rFonts w:ascii="Verdana" w:hAnsi="Verdana"/>
          <w:b/>
        </w:rPr>
        <w:t>taking reasonable steps to protect life)</w:t>
      </w:r>
      <w:r w:rsidR="00582221">
        <w:rPr>
          <w:rFonts w:ascii="Verdana" w:hAnsi="Verdana"/>
          <w:b/>
        </w:rPr>
        <w:t xml:space="preserve"> </w:t>
      </w:r>
    </w:p>
    <w:p w14:paraId="6605C55A" w14:textId="77777777" w:rsidR="0078124B" w:rsidRDefault="008749F5" w:rsidP="003E3E7A">
      <w:pPr>
        <w:pStyle w:val="NormalWeb"/>
        <w:jc w:val="both"/>
        <w:rPr>
          <w:rFonts w:ascii="Verdana" w:hAnsi="Verdana"/>
        </w:rPr>
      </w:pPr>
      <w:r w:rsidRPr="00CA27A4">
        <w:rPr>
          <w:rFonts w:ascii="Verdana" w:hAnsi="Verdana"/>
        </w:rPr>
        <w:t xml:space="preserve">It </w:t>
      </w:r>
      <w:r w:rsidR="00582221" w:rsidRPr="00582221">
        <w:rPr>
          <w:rFonts w:ascii="Verdana" w:hAnsi="Verdana"/>
        </w:rPr>
        <w:t>is anticipated that having a single implantable hub with outr</w:t>
      </w:r>
      <w:r w:rsidR="00582221">
        <w:rPr>
          <w:rFonts w:ascii="Verdana" w:hAnsi="Verdana"/>
        </w:rPr>
        <w:t xml:space="preserve">each model </w:t>
      </w:r>
      <w:r w:rsidR="00AF7C12">
        <w:rPr>
          <w:rFonts w:ascii="Verdana" w:hAnsi="Verdana"/>
        </w:rPr>
        <w:t xml:space="preserve">and </w:t>
      </w:r>
      <w:r w:rsidR="00582221">
        <w:rPr>
          <w:rFonts w:ascii="Verdana" w:hAnsi="Verdana"/>
        </w:rPr>
        <w:t>a central Multi-</w:t>
      </w:r>
      <w:r w:rsidR="00582221" w:rsidRPr="00582221">
        <w:rPr>
          <w:rFonts w:ascii="Verdana" w:hAnsi="Verdana"/>
        </w:rPr>
        <w:t>disciplinary team will provide a safe and sustainable specialist auditory implant device service that meets national standards</w:t>
      </w:r>
      <w:r w:rsidR="00582221">
        <w:rPr>
          <w:rFonts w:ascii="Verdana" w:hAnsi="Verdana"/>
        </w:rPr>
        <w:t>, will improve clinical outcomes and will have a positive impact on individuals right to have their life protected.</w:t>
      </w:r>
    </w:p>
    <w:p w14:paraId="3219C5D1" w14:textId="53CC7733" w:rsidR="002B504B" w:rsidRPr="002B504B" w:rsidRDefault="002B504B" w:rsidP="00996F3E">
      <w:pPr>
        <w:pStyle w:val="NormalWeb"/>
        <w:jc w:val="both"/>
        <w:rPr>
          <w:rFonts w:ascii="Verdana" w:hAnsi="Verdana"/>
          <w:b/>
        </w:rPr>
      </w:pPr>
      <w:r w:rsidRPr="002B504B">
        <w:rPr>
          <w:rFonts w:ascii="Verdana" w:hAnsi="Verdana"/>
          <w:b/>
        </w:rPr>
        <w:t>Summary Conclusion</w:t>
      </w:r>
    </w:p>
    <w:p w14:paraId="21C6A2D7" w14:textId="03141A15" w:rsidR="002F45FB" w:rsidRDefault="008A625C" w:rsidP="00AA3204">
      <w:pPr>
        <w:pStyle w:val="NormalWeb"/>
        <w:jc w:val="both"/>
        <w:rPr>
          <w:rFonts w:ascii="Verdana" w:hAnsi="Verdana"/>
          <w:color w:val="000000"/>
        </w:rPr>
      </w:pPr>
      <w:r w:rsidRPr="00AA3204">
        <w:rPr>
          <w:rFonts w:ascii="Verdana" w:hAnsi="Verdana" w:cs="Arial"/>
          <w:color w:val="0B0C0C"/>
          <w:shd w:val="clear" w:color="auto" w:fill="FFFFFF"/>
        </w:rPr>
        <w:t xml:space="preserve">WHSSC has considered all </w:t>
      </w:r>
      <w:r w:rsidR="00AA3204" w:rsidRPr="00AA3204">
        <w:rPr>
          <w:rFonts w:ascii="Verdana" w:hAnsi="Verdana" w:cs="Arial"/>
          <w:color w:val="0B0C0C"/>
          <w:shd w:val="clear" w:color="auto" w:fill="FFFFFF"/>
        </w:rPr>
        <w:t xml:space="preserve">of </w:t>
      </w:r>
      <w:r w:rsidRPr="00AA3204">
        <w:rPr>
          <w:rFonts w:ascii="Verdana" w:hAnsi="Verdana" w:cs="Arial"/>
          <w:color w:val="0B0C0C"/>
          <w:shd w:val="clear" w:color="auto" w:fill="FFFFFF"/>
        </w:rPr>
        <w:t xml:space="preserve">the protected </w:t>
      </w:r>
      <w:r w:rsidR="00AA3204" w:rsidRPr="00AA3204">
        <w:rPr>
          <w:rFonts w:ascii="Verdana" w:hAnsi="Verdana" w:cs="Arial"/>
          <w:color w:val="0B0C0C"/>
          <w:shd w:val="clear" w:color="auto" w:fill="FFFFFF"/>
        </w:rPr>
        <w:t>characteristics</w:t>
      </w:r>
      <w:r w:rsidR="00AF7C12">
        <w:rPr>
          <w:rFonts w:ascii="Verdana" w:hAnsi="Verdana"/>
          <w:color w:val="000000"/>
        </w:rPr>
        <w:t>. Although</w:t>
      </w:r>
      <w:r w:rsidR="00AA3204" w:rsidRPr="00AA3204">
        <w:rPr>
          <w:rFonts w:ascii="Verdana" w:hAnsi="Verdana"/>
          <w:color w:val="000000"/>
        </w:rPr>
        <w:t xml:space="preserve"> the proposed relocation of specialised services is not considered to have any significant negative impact</w:t>
      </w:r>
      <w:r w:rsidR="00AF7C12">
        <w:rPr>
          <w:rFonts w:ascii="Verdana" w:hAnsi="Verdana"/>
          <w:color w:val="000000"/>
        </w:rPr>
        <w:t xml:space="preserve">s, WHSSC </w:t>
      </w:r>
      <w:r w:rsidR="002F45FB">
        <w:rPr>
          <w:rFonts w:ascii="Verdana" w:hAnsi="Verdana"/>
          <w:color w:val="000000"/>
        </w:rPr>
        <w:t xml:space="preserve">will continue to review this position throughout the engagement period.  </w:t>
      </w:r>
    </w:p>
    <w:p w14:paraId="5C61E99F" w14:textId="77777777" w:rsidR="00787E23" w:rsidRPr="00A82C60" w:rsidRDefault="00582221" w:rsidP="00AA3204">
      <w:pPr>
        <w:pStyle w:val="NormalWeb"/>
        <w:jc w:val="both"/>
        <w:rPr>
          <w:rFonts w:ascii="Verdana" w:hAnsi="Verdana" w:cs="Arial"/>
          <w:b/>
        </w:rPr>
      </w:pPr>
      <w:r w:rsidRPr="00A82C60">
        <w:rPr>
          <w:rFonts w:ascii="Verdana" w:hAnsi="Verdana" w:cs="Arial"/>
          <w:b/>
        </w:rPr>
        <w:t>Next Steps</w:t>
      </w:r>
      <w:r w:rsidR="00A82C60">
        <w:rPr>
          <w:rFonts w:ascii="Verdana" w:hAnsi="Verdana" w:cs="Arial"/>
          <w:b/>
        </w:rPr>
        <w:t xml:space="preserve"> </w:t>
      </w:r>
    </w:p>
    <w:p w14:paraId="334C5899" w14:textId="72875688" w:rsidR="001A3B37" w:rsidRDefault="00AF7C12" w:rsidP="00A82C60">
      <w:pPr>
        <w:spacing w:before="100" w:beforeAutospacing="1" w:after="100" w:afterAutospacing="1"/>
        <w:jc w:val="both"/>
        <w:rPr>
          <w:rFonts w:ascii="Verdana" w:hAnsi="Verdana" w:cs="Arial"/>
        </w:rPr>
      </w:pPr>
      <w:r>
        <w:rPr>
          <w:rFonts w:ascii="Verdana" w:hAnsi="Verdana" w:cs="Arial"/>
        </w:rPr>
        <w:t>WHSSC</w:t>
      </w:r>
      <w:r w:rsidR="00582221" w:rsidRPr="00B72E28">
        <w:rPr>
          <w:rFonts w:ascii="Verdana" w:hAnsi="Verdana" w:cs="Arial"/>
        </w:rPr>
        <w:t xml:space="preserve"> will enter a period of targeted engagement</w:t>
      </w:r>
      <w:r w:rsidR="00B72E28" w:rsidRPr="00B72E28">
        <w:rPr>
          <w:rFonts w:ascii="Verdana" w:hAnsi="Verdana" w:cs="Arial"/>
        </w:rPr>
        <w:t>, noting that a period of consultation may be required following this stage.</w:t>
      </w:r>
      <w:r w:rsidR="00D11529">
        <w:rPr>
          <w:rFonts w:ascii="Verdana" w:hAnsi="Verdana" w:cs="Arial"/>
        </w:rPr>
        <w:t xml:space="preserve">  The feedback from the</w:t>
      </w:r>
      <w:r w:rsidR="00FE1EB8">
        <w:rPr>
          <w:rFonts w:ascii="Verdana" w:hAnsi="Verdana" w:cs="Arial"/>
        </w:rPr>
        <w:t>se processes will enable this E</w:t>
      </w:r>
      <w:r w:rsidR="00D11529">
        <w:rPr>
          <w:rFonts w:ascii="Verdana" w:hAnsi="Verdana" w:cs="Arial"/>
        </w:rPr>
        <w:t xml:space="preserve">IA to be further updated and associated considerations accordingly.  </w:t>
      </w:r>
    </w:p>
    <w:p w14:paraId="12EFA546" w14:textId="77777777" w:rsidR="00787E23" w:rsidRPr="00DD1E09" w:rsidRDefault="00787E23" w:rsidP="003477E6">
      <w:pPr>
        <w:jc w:val="both"/>
        <w:rPr>
          <w:rFonts w:ascii="Verdana" w:hAnsi="Verdana" w:cs="Segoe UI"/>
          <w:b/>
        </w:rPr>
      </w:pPr>
    </w:p>
    <w:sectPr w:rsidR="00787E23" w:rsidRPr="00DD1E09" w:rsidSect="00871470">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440" w:header="708" w:footer="708" w:gutter="0"/>
      <w:pgBorders w:display="firstPage" w:offsetFrom="page">
        <w:top w:val="single" w:sz="36" w:space="24" w:color="1F4E79" w:themeColor="accent1" w:themeShade="80"/>
        <w:left w:val="single" w:sz="36" w:space="24" w:color="1F4E79" w:themeColor="accent1" w:themeShade="80"/>
        <w:bottom w:val="single" w:sz="36" w:space="24" w:color="1F4E79" w:themeColor="accent1" w:themeShade="80"/>
        <w:right w:val="single" w:sz="36"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F77F51" w14:textId="77777777" w:rsidR="001E0A30" w:rsidRDefault="001E0A30" w:rsidP="00F2326E">
      <w:r>
        <w:separator/>
      </w:r>
    </w:p>
  </w:endnote>
  <w:endnote w:type="continuationSeparator" w:id="0">
    <w:p w14:paraId="12E2C179" w14:textId="77777777" w:rsidR="001E0A30" w:rsidRDefault="001E0A30" w:rsidP="00F23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yriadPro-Regular">
    <w:panose1 w:val="00000000000000000000"/>
    <w:charset w:val="00"/>
    <w:family w:val="swiss"/>
    <w:notTrueType/>
    <w:pitch w:val="default"/>
    <w:sig w:usb0="00000003" w:usb1="00000000" w:usb2="00000000" w:usb3="00000000" w:csb0="00000001" w:csb1="00000000"/>
  </w:font>
  <w:font w:name="Merriweather 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57FFE" w14:textId="77777777" w:rsidR="003E3E7A" w:rsidRDefault="003E3E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5117989"/>
      <w:docPartObj>
        <w:docPartGallery w:val="Page Numbers (Bottom of Page)"/>
        <w:docPartUnique/>
      </w:docPartObj>
    </w:sdtPr>
    <w:sdtEndPr>
      <w:rPr>
        <w:noProof/>
      </w:rPr>
    </w:sdtEndPr>
    <w:sdtContent>
      <w:p w14:paraId="6847432E" w14:textId="545E9BCC" w:rsidR="001E0A30" w:rsidRDefault="001E0A30">
        <w:pPr>
          <w:pStyle w:val="Footer"/>
          <w:jc w:val="right"/>
        </w:pPr>
        <w:r>
          <w:fldChar w:fldCharType="begin"/>
        </w:r>
        <w:r>
          <w:instrText xml:space="preserve"> PAGE   \* MERGEFORMAT </w:instrText>
        </w:r>
        <w:r>
          <w:fldChar w:fldCharType="separate"/>
        </w:r>
        <w:r w:rsidR="007B4EA6">
          <w:rPr>
            <w:noProof/>
          </w:rPr>
          <w:t>17</w:t>
        </w:r>
        <w:r>
          <w:rPr>
            <w:noProof/>
          </w:rPr>
          <w:fldChar w:fldCharType="end"/>
        </w:r>
      </w:p>
    </w:sdtContent>
  </w:sdt>
  <w:p w14:paraId="10E93D44" w14:textId="77777777" w:rsidR="001E0A30" w:rsidRDefault="001E0A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4D173" w14:textId="77777777" w:rsidR="003E3E7A" w:rsidRDefault="003E3E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98AB1" w14:textId="77777777" w:rsidR="001E0A30" w:rsidRDefault="001E0A30" w:rsidP="00F2326E">
      <w:r>
        <w:separator/>
      </w:r>
    </w:p>
  </w:footnote>
  <w:footnote w:type="continuationSeparator" w:id="0">
    <w:p w14:paraId="4E7E483B" w14:textId="77777777" w:rsidR="001E0A30" w:rsidRDefault="001E0A30" w:rsidP="00F2326E">
      <w:r>
        <w:continuationSeparator/>
      </w:r>
    </w:p>
  </w:footnote>
  <w:footnote w:id="1">
    <w:p w14:paraId="3F755B27" w14:textId="77777777" w:rsidR="001E0A30" w:rsidRDefault="001E0A30" w:rsidP="006C7820">
      <w:pPr>
        <w:pStyle w:val="FootnoteText"/>
      </w:pPr>
      <w:r>
        <w:rPr>
          <w:rStyle w:val="FootnoteReference"/>
        </w:rPr>
        <w:footnoteRef/>
      </w:r>
      <w:r>
        <w:t xml:space="preserve"> </w:t>
      </w:r>
      <w:hyperlink r:id="rId1" w:history="1">
        <w:r>
          <w:rPr>
            <w:rStyle w:val="Hyperlink"/>
          </w:rPr>
          <w:t>https://libguides.southwales.ac.uk/c.php?g=669129&amp;p=4748827</w:t>
        </w:r>
      </w:hyperlink>
    </w:p>
  </w:footnote>
  <w:footnote w:id="2">
    <w:p w14:paraId="1436BDDD" w14:textId="77777777" w:rsidR="001E0A30" w:rsidRDefault="001E0A30" w:rsidP="006C7820">
      <w:pPr>
        <w:pStyle w:val="FootnoteText"/>
      </w:pPr>
      <w:r>
        <w:rPr>
          <w:rStyle w:val="FootnoteReference"/>
        </w:rPr>
        <w:footnoteRef/>
      </w:r>
      <w:r>
        <w:t xml:space="preserve"> </w:t>
      </w:r>
      <w:hyperlink r:id="rId2" w:anchor=":~:text=Action%20on%20Hearing%20Loss%20runs%20free%20hearing%20aid,hearing%20aids%20%28Action%20on%20Hearing%20Loss%20Cymru%2C%202014%29." w:history="1">
        <w:r>
          <w:rPr>
            <w:rStyle w:val="Hyperlink"/>
          </w:rPr>
          <w:t>https://rnid.org.uk/wp-content/uploads/2020/05/Hearing-Matters-report-_-Wales-Supplement.pdf#:~:text=Action%20on%20Hearing%20Loss%20runs%20free%20hearing%20aid,hearing%20aids%20%28Action%20on%20Hearing%20Loss%20Cymru%2C%202014%29.</w:t>
        </w:r>
      </w:hyperlink>
    </w:p>
  </w:footnote>
  <w:footnote w:id="3">
    <w:p w14:paraId="131E80D5" w14:textId="77777777" w:rsidR="001E0A30" w:rsidRPr="00BE1E56" w:rsidRDefault="001E0A30" w:rsidP="00736ADD">
      <w:pPr>
        <w:pStyle w:val="FootnoteText"/>
        <w:rPr>
          <w:sz w:val="16"/>
          <w:szCs w:val="16"/>
        </w:rPr>
      </w:pPr>
      <w:r w:rsidRPr="00BE1E56">
        <w:rPr>
          <w:rStyle w:val="FootnoteReference"/>
          <w:sz w:val="16"/>
          <w:szCs w:val="16"/>
        </w:rPr>
        <w:footnoteRef/>
      </w:r>
      <w:r w:rsidRPr="00BE1E56">
        <w:rPr>
          <w:sz w:val="16"/>
          <w:szCs w:val="16"/>
        </w:rPr>
        <w:t xml:space="preserve"> </w:t>
      </w:r>
      <w:hyperlink r:id="rId3" w:history="1">
        <w:r w:rsidRPr="00BE1E56">
          <w:rPr>
            <w:rStyle w:val="Hyperlink"/>
            <w:sz w:val="16"/>
            <w:szCs w:val="16"/>
          </w:rPr>
          <w:t>https://www.bcig.org.uk/sig-quality-standards/</w:t>
        </w:r>
      </w:hyperlink>
    </w:p>
  </w:footnote>
  <w:footnote w:id="4">
    <w:p w14:paraId="1441320A" w14:textId="77777777" w:rsidR="001E0A30" w:rsidRDefault="001E0A30" w:rsidP="00736ADD">
      <w:pPr>
        <w:pStyle w:val="FootnoteText"/>
      </w:pPr>
      <w:r w:rsidRPr="00BE1E56">
        <w:rPr>
          <w:rStyle w:val="FootnoteReference"/>
          <w:sz w:val="16"/>
          <w:szCs w:val="16"/>
        </w:rPr>
        <w:footnoteRef/>
      </w:r>
      <w:r w:rsidRPr="00BE1E56">
        <w:rPr>
          <w:sz w:val="16"/>
          <w:szCs w:val="16"/>
        </w:rPr>
        <w:t xml:space="preserve"> </w:t>
      </w:r>
      <w:hyperlink r:id="rId4" w:history="1">
        <w:r w:rsidRPr="00BE1E56">
          <w:rPr>
            <w:rStyle w:val="Hyperlink"/>
            <w:sz w:val="16"/>
            <w:szCs w:val="16"/>
          </w:rPr>
          <w:t>https://www.england.nhs.uk/commissioning/wp-content/uploads/sites/12/2013/05/16041_FINAL.pdf</w:t>
        </w:r>
      </w:hyperlink>
    </w:p>
  </w:footnote>
  <w:footnote w:id="5">
    <w:p w14:paraId="24296820" w14:textId="77777777" w:rsidR="001E0A30" w:rsidRPr="00583D6F" w:rsidRDefault="001E0A30">
      <w:pPr>
        <w:pStyle w:val="FootnoteText"/>
        <w:rPr>
          <w:rFonts w:ascii="Verdana" w:hAnsi="Verdana"/>
          <w:sz w:val="16"/>
          <w:szCs w:val="16"/>
        </w:rPr>
      </w:pPr>
      <w:r>
        <w:rPr>
          <w:rStyle w:val="FootnoteReference"/>
        </w:rPr>
        <w:footnoteRef/>
      </w:r>
      <w:r>
        <w:t xml:space="preserve"> </w:t>
      </w:r>
      <w:hyperlink r:id="rId5" w:history="1">
        <w:r w:rsidRPr="00583D6F">
          <w:rPr>
            <w:rStyle w:val="Hyperlink"/>
            <w:rFonts w:ascii="Verdana" w:hAnsi="Verdana"/>
            <w:sz w:val="16"/>
            <w:szCs w:val="16"/>
          </w:rPr>
          <w:t>https://whssc.nhs.wales/commissioning/whssc-policies/all-policy-documents/cochlear-implant-for-children-and-adults-with-severe-to-profound-deafness-cp35/</w:t>
        </w:r>
      </w:hyperlink>
    </w:p>
  </w:footnote>
  <w:footnote w:id="6">
    <w:p w14:paraId="638C59D5" w14:textId="77777777" w:rsidR="001E0A30" w:rsidRPr="00886EE9" w:rsidRDefault="001E0A30">
      <w:pPr>
        <w:pStyle w:val="FootnoteText"/>
        <w:rPr>
          <w:rFonts w:ascii="Verdana" w:hAnsi="Verdana"/>
          <w:sz w:val="16"/>
          <w:szCs w:val="16"/>
        </w:rPr>
      </w:pPr>
      <w:r>
        <w:rPr>
          <w:rStyle w:val="FootnoteReference"/>
        </w:rPr>
        <w:footnoteRef/>
      </w:r>
      <w:r>
        <w:t xml:space="preserve"> </w:t>
      </w:r>
      <w:hyperlink r:id="rId6" w:history="1">
        <w:r w:rsidRPr="00886EE9">
          <w:rPr>
            <w:rStyle w:val="Hyperlink"/>
            <w:rFonts w:ascii="Verdana" w:hAnsi="Verdana"/>
            <w:sz w:val="16"/>
            <w:szCs w:val="16"/>
          </w:rPr>
          <w:t>https://www.nhsbsa.nhs.uk/nhs-low-income-scheme/hc2-certificates-full-help-health-costs</w:t>
        </w:r>
      </w:hyperlink>
    </w:p>
  </w:footnote>
  <w:footnote w:id="7">
    <w:p w14:paraId="1A5F21CA" w14:textId="77777777" w:rsidR="001E0A30" w:rsidRDefault="001E0A30">
      <w:pPr>
        <w:pStyle w:val="FootnoteText"/>
      </w:pPr>
      <w:r w:rsidRPr="00886EE9">
        <w:rPr>
          <w:rStyle w:val="FootnoteReference"/>
          <w:rFonts w:ascii="Verdana" w:hAnsi="Verdana"/>
          <w:sz w:val="16"/>
          <w:szCs w:val="16"/>
        </w:rPr>
        <w:footnoteRef/>
      </w:r>
      <w:r w:rsidRPr="00886EE9">
        <w:rPr>
          <w:rFonts w:ascii="Verdana" w:hAnsi="Verdana"/>
          <w:sz w:val="16"/>
          <w:szCs w:val="16"/>
        </w:rPr>
        <w:t xml:space="preserve"> </w:t>
      </w:r>
      <w:hyperlink r:id="rId7" w:history="1">
        <w:r w:rsidRPr="00886EE9">
          <w:rPr>
            <w:rStyle w:val="Hyperlink"/>
            <w:rFonts w:ascii="Verdana" w:hAnsi="Verdana"/>
            <w:sz w:val="16"/>
            <w:szCs w:val="16"/>
          </w:rPr>
          <w:t>https://www.nhsbsa.nhs.uk/nhs-low-income-scheme/hc3-certificates-limited-help-health-costs</w:t>
        </w:r>
      </w:hyperlink>
    </w:p>
  </w:footnote>
  <w:footnote w:id="8">
    <w:p w14:paraId="4E9FFAF4" w14:textId="77777777" w:rsidR="001E0A30" w:rsidRDefault="001E0A30">
      <w:pPr>
        <w:pStyle w:val="FootnoteText"/>
      </w:pPr>
      <w:r>
        <w:rPr>
          <w:rStyle w:val="FootnoteReference"/>
        </w:rPr>
        <w:footnoteRef/>
      </w:r>
      <w:r>
        <w:t xml:space="preserve"> </w:t>
      </w:r>
      <w:hyperlink r:id="rId8" w:history="1">
        <w:r w:rsidRPr="00D96F10">
          <w:rPr>
            <w:rStyle w:val="Hyperlink"/>
            <w:rFonts w:ascii="Verdana" w:hAnsi="Verdana"/>
            <w:sz w:val="16"/>
            <w:szCs w:val="16"/>
          </w:rPr>
          <w:t>https://www.ons.gov.uk/census/aboutcensus/releaseplans</w:t>
        </w:r>
      </w:hyperlink>
    </w:p>
  </w:footnote>
  <w:footnote w:id="9">
    <w:p w14:paraId="6A6B41CC" w14:textId="77777777" w:rsidR="001E0A30" w:rsidRDefault="001E0A30" w:rsidP="004A5C81">
      <w:pPr>
        <w:pStyle w:val="FootnoteText"/>
      </w:pPr>
      <w:r>
        <w:rPr>
          <w:rStyle w:val="FootnoteReference"/>
        </w:rPr>
        <w:footnoteRef/>
      </w:r>
      <w:r>
        <w:t xml:space="preserve"> </w:t>
      </w:r>
      <w:hyperlink r:id="rId9" w:history="1">
        <w:r w:rsidRPr="004E2B64">
          <w:rPr>
            <w:rStyle w:val="Hyperlink"/>
          </w:rPr>
          <w:t>2 Clinical need and practice | Cochlear implants for children and adults with severe to profound deafness | Guidance | NICE</w:t>
        </w:r>
      </w:hyperlink>
    </w:p>
  </w:footnote>
  <w:footnote w:id="10">
    <w:p w14:paraId="2FC8232D" w14:textId="77777777" w:rsidR="001E0A30" w:rsidRDefault="001E0A30" w:rsidP="00F418A9">
      <w:pPr>
        <w:pStyle w:val="FootnoteText"/>
      </w:pPr>
      <w:r>
        <w:rPr>
          <w:rStyle w:val="FootnoteReference"/>
        </w:rPr>
        <w:footnoteRef/>
      </w:r>
      <w:r>
        <w:t xml:space="preserve"> </w:t>
      </w:r>
      <w:hyperlink r:id="rId10" w:history="1">
        <w:r w:rsidRPr="00D3694D">
          <w:rPr>
            <w:rStyle w:val="Hyperlink"/>
          </w:rPr>
          <w:t>https://assets.publishing.service.gov.uk/government/uploads/system/uploads/attachment_data/file/514912/road-use-statistics.pdf</w:t>
        </w:r>
      </w:hyperlink>
    </w:p>
  </w:footnote>
  <w:footnote w:id="11">
    <w:p w14:paraId="2BFA36B0" w14:textId="77777777" w:rsidR="001E0A30" w:rsidRDefault="001E0A30" w:rsidP="004651ED">
      <w:pPr>
        <w:pStyle w:val="FootnoteText"/>
      </w:pPr>
      <w:r>
        <w:rPr>
          <w:rStyle w:val="FootnoteReference"/>
        </w:rPr>
        <w:footnoteRef/>
      </w:r>
      <w:r>
        <w:t xml:space="preserve"> </w:t>
      </w:r>
      <w:r w:rsidRPr="005A23F7">
        <w:t>Disabled is defined as individuals whose day-to-day activities are either limited a lot, or limited a little</w:t>
      </w:r>
    </w:p>
  </w:footnote>
  <w:footnote w:id="12">
    <w:p w14:paraId="3910C066" w14:textId="77777777" w:rsidR="001E0A30" w:rsidRPr="008E616B" w:rsidRDefault="001E0A30" w:rsidP="00DD1E09">
      <w:pPr>
        <w:pStyle w:val="FootnoteText"/>
        <w:rPr>
          <w:rFonts w:ascii="Verdana" w:hAnsi="Verdana"/>
          <w:sz w:val="18"/>
          <w:szCs w:val="18"/>
        </w:rPr>
      </w:pPr>
      <w:r w:rsidRPr="00257C7B">
        <w:rPr>
          <w:rStyle w:val="FootnoteReference"/>
          <w:rFonts w:ascii="Verdana" w:hAnsi="Verdana"/>
          <w:sz w:val="18"/>
          <w:szCs w:val="18"/>
        </w:rPr>
        <w:footnoteRef/>
      </w:r>
      <w:r w:rsidRPr="00257C7B">
        <w:rPr>
          <w:rFonts w:ascii="Verdana" w:hAnsi="Verdana"/>
          <w:sz w:val="18"/>
          <w:szCs w:val="18"/>
        </w:rPr>
        <w:t xml:space="preserve"> Black and minority population is classed here as any ethnicity not included under the white categories</w:t>
      </w:r>
    </w:p>
  </w:footnote>
  <w:footnote w:id="13">
    <w:p w14:paraId="52B1E750" w14:textId="77777777" w:rsidR="001E0A30" w:rsidRDefault="001E0A30" w:rsidP="00195D54">
      <w:pPr>
        <w:pStyle w:val="FootnoteText"/>
      </w:pPr>
      <w:r>
        <w:rPr>
          <w:rStyle w:val="FootnoteReference"/>
        </w:rPr>
        <w:footnoteRef/>
      </w:r>
      <w:r>
        <w:t xml:space="preserve"> </w:t>
      </w:r>
      <w:hyperlink r:id="rId11" w:history="1">
        <w:r w:rsidRPr="00414677">
          <w:rPr>
            <w:rStyle w:val="Hyperlink"/>
          </w:rPr>
          <w:t>Overview | Cochlear implants for children and adults with severe to profound deafness | Guidance | NICE</w:t>
        </w:r>
      </w:hyperlink>
    </w:p>
  </w:footnote>
  <w:footnote w:id="14">
    <w:p w14:paraId="0E03D53D" w14:textId="77777777" w:rsidR="001E0A30" w:rsidRPr="006016BA" w:rsidRDefault="001E0A30" w:rsidP="00425C74">
      <w:pPr>
        <w:pStyle w:val="FootnoteText"/>
        <w:rPr>
          <w:rFonts w:ascii="Verdana" w:hAnsi="Verdana"/>
          <w:sz w:val="16"/>
          <w:szCs w:val="16"/>
        </w:rPr>
      </w:pPr>
      <w:r>
        <w:rPr>
          <w:rStyle w:val="FootnoteReference"/>
        </w:rPr>
        <w:footnoteRef/>
      </w:r>
      <w:r>
        <w:t xml:space="preserve"> </w:t>
      </w:r>
      <w:r w:rsidRPr="006016BA">
        <w:rPr>
          <w:rFonts w:ascii="Verdana" w:hAnsi="Verdana"/>
          <w:sz w:val="16"/>
          <w:szCs w:val="16"/>
        </w:rPr>
        <w:t xml:space="preserve">National Equality Panel. (2010). </w:t>
      </w:r>
      <w:proofErr w:type="gramStart"/>
      <w:r w:rsidRPr="006016BA">
        <w:rPr>
          <w:rFonts w:ascii="Verdana" w:hAnsi="Verdana"/>
          <w:i/>
          <w:sz w:val="16"/>
          <w:szCs w:val="16"/>
        </w:rPr>
        <w:t>An</w:t>
      </w:r>
      <w:proofErr w:type="gramEnd"/>
      <w:r w:rsidRPr="006016BA">
        <w:rPr>
          <w:rFonts w:ascii="Verdana" w:hAnsi="Verdana"/>
          <w:i/>
          <w:sz w:val="16"/>
          <w:szCs w:val="16"/>
        </w:rPr>
        <w:t xml:space="preserve"> anatomy of economic inequality in the UK. </w:t>
      </w:r>
      <w:r w:rsidRPr="006016BA">
        <w:rPr>
          <w:rFonts w:ascii="Verdana" w:hAnsi="Verdana"/>
          <w:sz w:val="16"/>
          <w:szCs w:val="16"/>
        </w:rPr>
        <w:t>London: London School of Economics &amp; Political Science (LSE) - Centre for Analysis of Social Exclusion</w:t>
      </w:r>
    </w:p>
    <w:p w14:paraId="44182B39" w14:textId="77777777" w:rsidR="001E0A30" w:rsidRDefault="001E0A30">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FBD80" w14:textId="77777777" w:rsidR="001E0A30" w:rsidRDefault="007B4EA6">
    <w:pPr>
      <w:pStyle w:val="Header"/>
    </w:pPr>
    <w:r>
      <w:rPr>
        <w:noProof/>
      </w:rPr>
      <w:pict w14:anchorId="0784F9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1" o:spid="_x0000_s2050" type="#_x0000_t136" style="position:absolute;margin-left:0;margin-top:0;width:604.4pt;height:31.8pt;rotation:315;z-index:-251655168;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5983D" w14:textId="77777777" w:rsidR="001E0A30" w:rsidRDefault="007B4EA6">
    <w:pPr>
      <w:pStyle w:val="Header"/>
    </w:pPr>
    <w:r>
      <w:rPr>
        <w:noProof/>
      </w:rPr>
      <w:pict w14:anchorId="135264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2" o:spid="_x0000_s2051" type="#_x0000_t136" style="position:absolute;margin-left:0;margin-top:0;width:604.4pt;height:31.8pt;rotation:315;z-index:-251653120;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9CBA2" w14:textId="77777777" w:rsidR="001E0A30" w:rsidRDefault="007B4EA6">
    <w:pPr>
      <w:pStyle w:val="Header"/>
    </w:pPr>
    <w:r>
      <w:rPr>
        <w:noProof/>
      </w:rPr>
      <w:pict w14:anchorId="5AEFE01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941890" o:spid="_x0000_s2049" type="#_x0000_t136" style="position:absolute;margin-left:0;margin-top:0;width:604.4pt;height:31.8pt;rotation:315;z-index:-251657216;mso-position-horizontal:center;mso-position-horizontal-relative:margin;mso-position-vertical:center;mso-position-vertical-relative:margin" o:allowincell="f" fillcolor="silver" stroked="f">
          <v:fill opacity=".5"/>
          <v:textpath style="font-family:&quot;Trebuchet MS&quot;;font-size:1pt" string="DRAFT FOR UPDATE FOLLOWING ENGAGEMEN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D295F"/>
    <w:multiLevelType w:val="hybridMultilevel"/>
    <w:tmpl w:val="AB9E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81DAF"/>
    <w:multiLevelType w:val="hybridMultilevel"/>
    <w:tmpl w:val="D92E6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1B39B7"/>
    <w:multiLevelType w:val="hybridMultilevel"/>
    <w:tmpl w:val="BA4ED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A623E8"/>
    <w:multiLevelType w:val="hybridMultilevel"/>
    <w:tmpl w:val="F7949374"/>
    <w:lvl w:ilvl="0" w:tplc="08090001">
      <w:start w:val="1"/>
      <w:numFmt w:val="bullet"/>
      <w:lvlText w:val=""/>
      <w:lvlJc w:val="left"/>
      <w:pPr>
        <w:ind w:left="840" w:hanging="360"/>
      </w:pPr>
      <w:rPr>
        <w:rFonts w:ascii="Symbol" w:hAnsi="Symbol" w:hint="default"/>
      </w:rPr>
    </w:lvl>
    <w:lvl w:ilvl="1" w:tplc="08090003">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4" w15:restartNumberingAfterBreak="0">
    <w:nsid w:val="2B5D527F"/>
    <w:multiLevelType w:val="hybridMultilevel"/>
    <w:tmpl w:val="19C86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A34FA1"/>
    <w:multiLevelType w:val="hybridMultilevel"/>
    <w:tmpl w:val="B5982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FF520B"/>
    <w:multiLevelType w:val="hybridMultilevel"/>
    <w:tmpl w:val="598EF4A0"/>
    <w:lvl w:ilvl="0" w:tplc="347E0D08">
      <w:numFmt w:val="bullet"/>
      <w:lvlText w:val=""/>
      <w:lvlJc w:val="left"/>
      <w:pPr>
        <w:ind w:left="928" w:hanging="360"/>
      </w:pPr>
      <w:rPr>
        <w:rFonts w:ascii="Symbol" w:eastAsia="Symbol" w:hAnsi="Symbol" w:cs="Symbol" w:hint="default"/>
        <w:b w:val="0"/>
        <w:bCs w:val="0"/>
        <w:i w:val="0"/>
        <w:iCs w:val="0"/>
        <w:w w:val="100"/>
        <w:sz w:val="28"/>
        <w:szCs w:val="28"/>
        <w:lang w:val="en-US" w:eastAsia="en-US" w:bidi="ar-SA"/>
      </w:rPr>
    </w:lvl>
    <w:lvl w:ilvl="1" w:tplc="52F63B82">
      <w:numFmt w:val="bullet"/>
      <w:lvlText w:val="o"/>
      <w:lvlJc w:val="left"/>
      <w:pPr>
        <w:ind w:left="1200" w:hanging="360"/>
      </w:pPr>
      <w:rPr>
        <w:rFonts w:ascii="Courier New" w:eastAsia="Courier New" w:hAnsi="Courier New" w:cs="Courier New" w:hint="default"/>
        <w:b w:val="0"/>
        <w:bCs w:val="0"/>
        <w:i w:val="0"/>
        <w:iCs w:val="0"/>
        <w:w w:val="100"/>
        <w:sz w:val="28"/>
        <w:szCs w:val="28"/>
        <w:lang w:val="en-US" w:eastAsia="en-US" w:bidi="ar-SA"/>
      </w:rPr>
    </w:lvl>
    <w:lvl w:ilvl="2" w:tplc="6FC8BCD0">
      <w:numFmt w:val="bullet"/>
      <w:lvlText w:val="•"/>
      <w:lvlJc w:val="left"/>
      <w:pPr>
        <w:ind w:left="2196" w:hanging="360"/>
      </w:pPr>
      <w:rPr>
        <w:rFonts w:hint="default"/>
        <w:lang w:val="en-US" w:eastAsia="en-US" w:bidi="ar-SA"/>
      </w:rPr>
    </w:lvl>
    <w:lvl w:ilvl="3" w:tplc="1066564E">
      <w:numFmt w:val="bullet"/>
      <w:lvlText w:val="•"/>
      <w:lvlJc w:val="left"/>
      <w:pPr>
        <w:ind w:left="3192" w:hanging="360"/>
      </w:pPr>
      <w:rPr>
        <w:rFonts w:hint="default"/>
        <w:lang w:val="en-US" w:eastAsia="en-US" w:bidi="ar-SA"/>
      </w:rPr>
    </w:lvl>
    <w:lvl w:ilvl="4" w:tplc="46D25A0A">
      <w:numFmt w:val="bullet"/>
      <w:lvlText w:val="•"/>
      <w:lvlJc w:val="left"/>
      <w:pPr>
        <w:ind w:left="4188" w:hanging="360"/>
      </w:pPr>
      <w:rPr>
        <w:rFonts w:hint="default"/>
        <w:lang w:val="en-US" w:eastAsia="en-US" w:bidi="ar-SA"/>
      </w:rPr>
    </w:lvl>
    <w:lvl w:ilvl="5" w:tplc="B41C1E06">
      <w:numFmt w:val="bullet"/>
      <w:lvlText w:val="•"/>
      <w:lvlJc w:val="left"/>
      <w:pPr>
        <w:ind w:left="5185" w:hanging="360"/>
      </w:pPr>
      <w:rPr>
        <w:rFonts w:hint="default"/>
        <w:lang w:val="en-US" w:eastAsia="en-US" w:bidi="ar-SA"/>
      </w:rPr>
    </w:lvl>
    <w:lvl w:ilvl="6" w:tplc="5442D410">
      <w:numFmt w:val="bullet"/>
      <w:lvlText w:val="•"/>
      <w:lvlJc w:val="left"/>
      <w:pPr>
        <w:ind w:left="6181" w:hanging="360"/>
      </w:pPr>
      <w:rPr>
        <w:rFonts w:hint="default"/>
        <w:lang w:val="en-US" w:eastAsia="en-US" w:bidi="ar-SA"/>
      </w:rPr>
    </w:lvl>
    <w:lvl w:ilvl="7" w:tplc="E54E5E56">
      <w:numFmt w:val="bullet"/>
      <w:lvlText w:val="•"/>
      <w:lvlJc w:val="left"/>
      <w:pPr>
        <w:ind w:left="7177" w:hanging="360"/>
      </w:pPr>
      <w:rPr>
        <w:rFonts w:hint="default"/>
        <w:lang w:val="en-US" w:eastAsia="en-US" w:bidi="ar-SA"/>
      </w:rPr>
    </w:lvl>
    <w:lvl w:ilvl="8" w:tplc="80BE7AA4">
      <w:numFmt w:val="bullet"/>
      <w:lvlText w:val="•"/>
      <w:lvlJc w:val="left"/>
      <w:pPr>
        <w:ind w:left="8173" w:hanging="360"/>
      </w:pPr>
      <w:rPr>
        <w:rFonts w:hint="default"/>
        <w:lang w:val="en-US" w:eastAsia="en-US" w:bidi="ar-SA"/>
      </w:rPr>
    </w:lvl>
  </w:abstractNum>
  <w:abstractNum w:abstractNumId="7" w15:restartNumberingAfterBreak="0">
    <w:nsid w:val="30A14DE0"/>
    <w:multiLevelType w:val="hybridMultilevel"/>
    <w:tmpl w:val="8B607128"/>
    <w:lvl w:ilvl="0" w:tplc="7A1E6EFE">
      <w:start w:val="1"/>
      <w:numFmt w:val="bullet"/>
      <w:lvlText w:val="•"/>
      <w:lvlJc w:val="left"/>
      <w:pPr>
        <w:tabs>
          <w:tab w:val="num" w:pos="720"/>
        </w:tabs>
        <w:ind w:left="720" w:hanging="360"/>
      </w:pPr>
      <w:rPr>
        <w:rFonts w:ascii="Arial" w:hAnsi="Arial" w:hint="default"/>
      </w:rPr>
    </w:lvl>
    <w:lvl w:ilvl="1" w:tplc="989C0D3E" w:tentative="1">
      <w:start w:val="1"/>
      <w:numFmt w:val="bullet"/>
      <w:lvlText w:val="•"/>
      <w:lvlJc w:val="left"/>
      <w:pPr>
        <w:tabs>
          <w:tab w:val="num" w:pos="1440"/>
        </w:tabs>
        <w:ind w:left="1440" w:hanging="360"/>
      </w:pPr>
      <w:rPr>
        <w:rFonts w:ascii="Arial" w:hAnsi="Arial" w:hint="default"/>
      </w:rPr>
    </w:lvl>
    <w:lvl w:ilvl="2" w:tplc="71C4F230" w:tentative="1">
      <w:start w:val="1"/>
      <w:numFmt w:val="bullet"/>
      <w:lvlText w:val="•"/>
      <w:lvlJc w:val="left"/>
      <w:pPr>
        <w:tabs>
          <w:tab w:val="num" w:pos="2160"/>
        </w:tabs>
        <w:ind w:left="2160" w:hanging="360"/>
      </w:pPr>
      <w:rPr>
        <w:rFonts w:ascii="Arial" w:hAnsi="Arial" w:hint="default"/>
      </w:rPr>
    </w:lvl>
    <w:lvl w:ilvl="3" w:tplc="ACB63280" w:tentative="1">
      <w:start w:val="1"/>
      <w:numFmt w:val="bullet"/>
      <w:lvlText w:val="•"/>
      <w:lvlJc w:val="left"/>
      <w:pPr>
        <w:tabs>
          <w:tab w:val="num" w:pos="2880"/>
        </w:tabs>
        <w:ind w:left="2880" w:hanging="360"/>
      </w:pPr>
      <w:rPr>
        <w:rFonts w:ascii="Arial" w:hAnsi="Arial" w:hint="default"/>
      </w:rPr>
    </w:lvl>
    <w:lvl w:ilvl="4" w:tplc="E0108A3C" w:tentative="1">
      <w:start w:val="1"/>
      <w:numFmt w:val="bullet"/>
      <w:lvlText w:val="•"/>
      <w:lvlJc w:val="left"/>
      <w:pPr>
        <w:tabs>
          <w:tab w:val="num" w:pos="3600"/>
        </w:tabs>
        <w:ind w:left="3600" w:hanging="360"/>
      </w:pPr>
      <w:rPr>
        <w:rFonts w:ascii="Arial" w:hAnsi="Arial" w:hint="default"/>
      </w:rPr>
    </w:lvl>
    <w:lvl w:ilvl="5" w:tplc="A8FC513A" w:tentative="1">
      <w:start w:val="1"/>
      <w:numFmt w:val="bullet"/>
      <w:lvlText w:val="•"/>
      <w:lvlJc w:val="left"/>
      <w:pPr>
        <w:tabs>
          <w:tab w:val="num" w:pos="4320"/>
        </w:tabs>
        <w:ind w:left="4320" w:hanging="360"/>
      </w:pPr>
      <w:rPr>
        <w:rFonts w:ascii="Arial" w:hAnsi="Arial" w:hint="default"/>
      </w:rPr>
    </w:lvl>
    <w:lvl w:ilvl="6" w:tplc="A9828F86" w:tentative="1">
      <w:start w:val="1"/>
      <w:numFmt w:val="bullet"/>
      <w:lvlText w:val="•"/>
      <w:lvlJc w:val="left"/>
      <w:pPr>
        <w:tabs>
          <w:tab w:val="num" w:pos="5040"/>
        </w:tabs>
        <w:ind w:left="5040" w:hanging="360"/>
      </w:pPr>
      <w:rPr>
        <w:rFonts w:ascii="Arial" w:hAnsi="Arial" w:hint="default"/>
      </w:rPr>
    </w:lvl>
    <w:lvl w:ilvl="7" w:tplc="7E309AC0" w:tentative="1">
      <w:start w:val="1"/>
      <w:numFmt w:val="bullet"/>
      <w:lvlText w:val="•"/>
      <w:lvlJc w:val="left"/>
      <w:pPr>
        <w:tabs>
          <w:tab w:val="num" w:pos="5760"/>
        </w:tabs>
        <w:ind w:left="5760" w:hanging="360"/>
      </w:pPr>
      <w:rPr>
        <w:rFonts w:ascii="Arial" w:hAnsi="Arial" w:hint="default"/>
      </w:rPr>
    </w:lvl>
    <w:lvl w:ilvl="8" w:tplc="2B4698E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0C36D2C"/>
    <w:multiLevelType w:val="hybridMultilevel"/>
    <w:tmpl w:val="08EA7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BC141B"/>
    <w:multiLevelType w:val="hybridMultilevel"/>
    <w:tmpl w:val="EA461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516D7A"/>
    <w:multiLevelType w:val="hybridMultilevel"/>
    <w:tmpl w:val="4AB8E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097D03"/>
    <w:multiLevelType w:val="hybridMultilevel"/>
    <w:tmpl w:val="C380AFE6"/>
    <w:lvl w:ilvl="0" w:tplc="81923636">
      <w:start w:val="1"/>
      <w:numFmt w:val="lowerLetter"/>
      <w:lvlText w:val="%1)"/>
      <w:lvlJc w:val="left"/>
      <w:pPr>
        <w:ind w:left="1560" w:hanging="720"/>
      </w:pPr>
      <w:rPr>
        <w:rFonts w:ascii="Verdana" w:eastAsia="Verdana" w:hAnsi="Verdana" w:cs="Verdana" w:hint="default"/>
        <w:b w:val="0"/>
        <w:bCs w:val="0"/>
        <w:i w:val="0"/>
        <w:iCs w:val="0"/>
        <w:w w:val="100"/>
        <w:sz w:val="24"/>
        <w:szCs w:val="24"/>
        <w:lang w:val="en-US" w:eastAsia="en-US" w:bidi="ar-SA"/>
      </w:rPr>
    </w:lvl>
    <w:lvl w:ilvl="1" w:tplc="7DDA7B0A">
      <w:numFmt w:val="bullet"/>
      <w:lvlText w:val="•"/>
      <w:lvlJc w:val="left"/>
      <w:pPr>
        <w:ind w:left="2420" w:hanging="720"/>
      </w:pPr>
      <w:rPr>
        <w:rFonts w:hint="default"/>
        <w:lang w:val="en-US" w:eastAsia="en-US" w:bidi="ar-SA"/>
      </w:rPr>
    </w:lvl>
    <w:lvl w:ilvl="2" w:tplc="B65C6D72">
      <w:numFmt w:val="bullet"/>
      <w:lvlText w:val="•"/>
      <w:lvlJc w:val="left"/>
      <w:pPr>
        <w:ind w:left="3281" w:hanging="720"/>
      </w:pPr>
      <w:rPr>
        <w:rFonts w:hint="default"/>
        <w:lang w:val="en-US" w:eastAsia="en-US" w:bidi="ar-SA"/>
      </w:rPr>
    </w:lvl>
    <w:lvl w:ilvl="3" w:tplc="30882B9E">
      <w:numFmt w:val="bullet"/>
      <w:lvlText w:val="•"/>
      <w:lvlJc w:val="left"/>
      <w:pPr>
        <w:ind w:left="4141" w:hanging="720"/>
      </w:pPr>
      <w:rPr>
        <w:rFonts w:hint="default"/>
        <w:lang w:val="en-US" w:eastAsia="en-US" w:bidi="ar-SA"/>
      </w:rPr>
    </w:lvl>
    <w:lvl w:ilvl="4" w:tplc="CE869BB2">
      <w:numFmt w:val="bullet"/>
      <w:lvlText w:val="•"/>
      <w:lvlJc w:val="left"/>
      <w:pPr>
        <w:ind w:left="5002" w:hanging="720"/>
      </w:pPr>
      <w:rPr>
        <w:rFonts w:hint="default"/>
        <w:lang w:val="en-US" w:eastAsia="en-US" w:bidi="ar-SA"/>
      </w:rPr>
    </w:lvl>
    <w:lvl w:ilvl="5" w:tplc="83443322">
      <w:numFmt w:val="bullet"/>
      <w:lvlText w:val="•"/>
      <w:lvlJc w:val="left"/>
      <w:pPr>
        <w:ind w:left="5863" w:hanging="720"/>
      </w:pPr>
      <w:rPr>
        <w:rFonts w:hint="default"/>
        <w:lang w:val="en-US" w:eastAsia="en-US" w:bidi="ar-SA"/>
      </w:rPr>
    </w:lvl>
    <w:lvl w:ilvl="6" w:tplc="F85A5F24">
      <w:numFmt w:val="bullet"/>
      <w:lvlText w:val="•"/>
      <w:lvlJc w:val="left"/>
      <w:pPr>
        <w:ind w:left="6723" w:hanging="720"/>
      </w:pPr>
      <w:rPr>
        <w:rFonts w:hint="default"/>
        <w:lang w:val="en-US" w:eastAsia="en-US" w:bidi="ar-SA"/>
      </w:rPr>
    </w:lvl>
    <w:lvl w:ilvl="7" w:tplc="4E7C609E">
      <w:numFmt w:val="bullet"/>
      <w:lvlText w:val="•"/>
      <w:lvlJc w:val="left"/>
      <w:pPr>
        <w:ind w:left="7584" w:hanging="720"/>
      </w:pPr>
      <w:rPr>
        <w:rFonts w:hint="default"/>
        <w:lang w:val="en-US" w:eastAsia="en-US" w:bidi="ar-SA"/>
      </w:rPr>
    </w:lvl>
    <w:lvl w:ilvl="8" w:tplc="2B862FBA">
      <w:numFmt w:val="bullet"/>
      <w:lvlText w:val="•"/>
      <w:lvlJc w:val="left"/>
      <w:pPr>
        <w:ind w:left="8445" w:hanging="720"/>
      </w:pPr>
      <w:rPr>
        <w:rFonts w:hint="default"/>
        <w:lang w:val="en-US" w:eastAsia="en-US" w:bidi="ar-SA"/>
      </w:rPr>
    </w:lvl>
  </w:abstractNum>
  <w:abstractNum w:abstractNumId="12" w15:restartNumberingAfterBreak="0">
    <w:nsid w:val="3FDD3A68"/>
    <w:multiLevelType w:val="hybridMultilevel"/>
    <w:tmpl w:val="CBB44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02575B"/>
    <w:multiLevelType w:val="hybridMultilevel"/>
    <w:tmpl w:val="268C551C"/>
    <w:lvl w:ilvl="0" w:tplc="08090001">
      <w:start w:val="1"/>
      <w:numFmt w:val="bullet"/>
      <w:lvlText w:val=""/>
      <w:lvlJc w:val="left"/>
      <w:pPr>
        <w:ind w:left="1560" w:hanging="720"/>
      </w:pPr>
      <w:rPr>
        <w:rFonts w:ascii="Symbol" w:hAnsi="Symbol" w:hint="default"/>
        <w:b w:val="0"/>
        <w:bCs w:val="0"/>
        <w:i w:val="0"/>
        <w:iCs w:val="0"/>
        <w:w w:val="100"/>
        <w:sz w:val="24"/>
        <w:szCs w:val="24"/>
        <w:lang w:val="en-US" w:eastAsia="en-US" w:bidi="ar-SA"/>
      </w:rPr>
    </w:lvl>
    <w:lvl w:ilvl="1" w:tplc="7DDA7B0A">
      <w:numFmt w:val="bullet"/>
      <w:lvlText w:val="•"/>
      <w:lvlJc w:val="left"/>
      <w:pPr>
        <w:ind w:left="2420" w:hanging="720"/>
      </w:pPr>
      <w:rPr>
        <w:rFonts w:hint="default"/>
        <w:lang w:val="en-US" w:eastAsia="en-US" w:bidi="ar-SA"/>
      </w:rPr>
    </w:lvl>
    <w:lvl w:ilvl="2" w:tplc="B65C6D72">
      <w:numFmt w:val="bullet"/>
      <w:lvlText w:val="•"/>
      <w:lvlJc w:val="left"/>
      <w:pPr>
        <w:ind w:left="3281" w:hanging="720"/>
      </w:pPr>
      <w:rPr>
        <w:rFonts w:hint="default"/>
        <w:lang w:val="en-US" w:eastAsia="en-US" w:bidi="ar-SA"/>
      </w:rPr>
    </w:lvl>
    <w:lvl w:ilvl="3" w:tplc="30882B9E">
      <w:numFmt w:val="bullet"/>
      <w:lvlText w:val="•"/>
      <w:lvlJc w:val="left"/>
      <w:pPr>
        <w:ind w:left="4141" w:hanging="720"/>
      </w:pPr>
      <w:rPr>
        <w:rFonts w:hint="default"/>
        <w:lang w:val="en-US" w:eastAsia="en-US" w:bidi="ar-SA"/>
      </w:rPr>
    </w:lvl>
    <w:lvl w:ilvl="4" w:tplc="CE869BB2">
      <w:numFmt w:val="bullet"/>
      <w:lvlText w:val="•"/>
      <w:lvlJc w:val="left"/>
      <w:pPr>
        <w:ind w:left="5002" w:hanging="720"/>
      </w:pPr>
      <w:rPr>
        <w:rFonts w:hint="default"/>
        <w:lang w:val="en-US" w:eastAsia="en-US" w:bidi="ar-SA"/>
      </w:rPr>
    </w:lvl>
    <w:lvl w:ilvl="5" w:tplc="83443322">
      <w:numFmt w:val="bullet"/>
      <w:lvlText w:val="•"/>
      <w:lvlJc w:val="left"/>
      <w:pPr>
        <w:ind w:left="5863" w:hanging="720"/>
      </w:pPr>
      <w:rPr>
        <w:rFonts w:hint="default"/>
        <w:lang w:val="en-US" w:eastAsia="en-US" w:bidi="ar-SA"/>
      </w:rPr>
    </w:lvl>
    <w:lvl w:ilvl="6" w:tplc="F85A5F24">
      <w:numFmt w:val="bullet"/>
      <w:lvlText w:val="•"/>
      <w:lvlJc w:val="left"/>
      <w:pPr>
        <w:ind w:left="6723" w:hanging="720"/>
      </w:pPr>
      <w:rPr>
        <w:rFonts w:hint="default"/>
        <w:lang w:val="en-US" w:eastAsia="en-US" w:bidi="ar-SA"/>
      </w:rPr>
    </w:lvl>
    <w:lvl w:ilvl="7" w:tplc="4E7C609E">
      <w:numFmt w:val="bullet"/>
      <w:lvlText w:val="•"/>
      <w:lvlJc w:val="left"/>
      <w:pPr>
        <w:ind w:left="7584" w:hanging="720"/>
      </w:pPr>
      <w:rPr>
        <w:rFonts w:hint="default"/>
        <w:lang w:val="en-US" w:eastAsia="en-US" w:bidi="ar-SA"/>
      </w:rPr>
    </w:lvl>
    <w:lvl w:ilvl="8" w:tplc="2B862FBA">
      <w:numFmt w:val="bullet"/>
      <w:lvlText w:val="•"/>
      <w:lvlJc w:val="left"/>
      <w:pPr>
        <w:ind w:left="8445" w:hanging="720"/>
      </w:pPr>
      <w:rPr>
        <w:rFonts w:hint="default"/>
        <w:lang w:val="en-US" w:eastAsia="en-US" w:bidi="ar-SA"/>
      </w:rPr>
    </w:lvl>
  </w:abstractNum>
  <w:abstractNum w:abstractNumId="14" w15:restartNumberingAfterBreak="0">
    <w:nsid w:val="43BA7138"/>
    <w:multiLevelType w:val="hybridMultilevel"/>
    <w:tmpl w:val="A822B184"/>
    <w:lvl w:ilvl="0" w:tplc="BE52C4AC">
      <w:start w:val="1"/>
      <w:numFmt w:val="bullet"/>
      <w:lvlText w:val="•"/>
      <w:lvlJc w:val="left"/>
      <w:pPr>
        <w:tabs>
          <w:tab w:val="num" w:pos="720"/>
        </w:tabs>
        <w:ind w:left="720" w:hanging="360"/>
      </w:pPr>
      <w:rPr>
        <w:rFonts w:ascii="Times New Roman" w:hAnsi="Times New Roman" w:hint="default"/>
      </w:rPr>
    </w:lvl>
    <w:lvl w:ilvl="1" w:tplc="A2F03C62" w:tentative="1">
      <w:start w:val="1"/>
      <w:numFmt w:val="bullet"/>
      <w:lvlText w:val="•"/>
      <w:lvlJc w:val="left"/>
      <w:pPr>
        <w:tabs>
          <w:tab w:val="num" w:pos="1440"/>
        </w:tabs>
        <w:ind w:left="1440" w:hanging="360"/>
      </w:pPr>
      <w:rPr>
        <w:rFonts w:ascii="Times New Roman" w:hAnsi="Times New Roman" w:hint="default"/>
      </w:rPr>
    </w:lvl>
    <w:lvl w:ilvl="2" w:tplc="D062ED42" w:tentative="1">
      <w:start w:val="1"/>
      <w:numFmt w:val="bullet"/>
      <w:lvlText w:val="•"/>
      <w:lvlJc w:val="left"/>
      <w:pPr>
        <w:tabs>
          <w:tab w:val="num" w:pos="2160"/>
        </w:tabs>
        <w:ind w:left="2160" w:hanging="360"/>
      </w:pPr>
      <w:rPr>
        <w:rFonts w:ascii="Times New Roman" w:hAnsi="Times New Roman" w:hint="default"/>
      </w:rPr>
    </w:lvl>
    <w:lvl w:ilvl="3" w:tplc="84C2926C" w:tentative="1">
      <w:start w:val="1"/>
      <w:numFmt w:val="bullet"/>
      <w:lvlText w:val="•"/>
      <w:lvlJc w:val="left"/>
      <w:pPr>
        <w:tabs>
          <w:tab w:val="num" w:pos="2880"/>
        </w:tabs>
        <w:ind w:left="2880" w:hanging="360"/>
      </w:pPr>
      <w:rPr>
        <w:rFonts w:ascii="Times New Roman" w:hAnsi="Times New Roman" w:hint="default"/>
      </w:rPr>
    </w:lvl>
    <w:lvl w:ilvl="4" w:tplc="D132FB64" w:tentative="1">
      <w:start w:val="1"/>
      <w:numFmt w:val="bullet"/>
      <w:lvlText w:val="•"/>
      <w:lvlJc w:val="left"/>
      <w:pPr>
        <w:tabs>
          <w:tab w:val="num" w:pos="3600"/>
        </w:tabs>
        <w:ind w:left="3600" w:hanging="360"/>
      </w:pPr>
      <w:rPr>
        <w:rFonts w:ascii="Times New Roman" w:hAnsi="Times New Roman" w:hint="default"/>
      </w:rPr>
    </w:lvl>
    <w:lvl w:ilvl="5" w:tplc="CC4CF8F8" w:tentative="1">
      <w:start w:val="1"/>
      <w:numFmt w:val="bullet"/>
      <w:lvlText w:val="•"/>
      <w:lvlJc w:val="left"/>
      <w:pPr>
        <w:tabs>
          <w:tab w:val="num" w:pos="4320"/>
        </w:tabs>
        <w:ind w:left="4320" w:hanging="360"/>
      </w:pPr>
      <w:rPr>
        <w:rFonts w:ascii="Times New Roman" w:hAnsi="Times New Roman" w:hint="default"/>
      </w:rPr>
    </w:lvl>
    <w:lvl w:ilvl="6" w:tplc="F1C6D18A" w:tentative="1">
      <w:start w:val="1"/>
      <w:numFmt w:val="bullet"/>
      <w:lvlText w:val="•"/>
      <w:lvlJc w:val="left"/>
      <w:pPr>
        <w:tabs>
          <w:tab w:val="num" w:pos="5040"/>
        </w:tabs>
        <w:ind w:left="5040" w:hanging="360"/>
      </w:pPr>
      <w:rPr>
        <w:rFonts w:ascii="Times New Roman" w:hAnsi="Times New Roman" w:hint="default"/>
      </w:rPr>
    </w:lvl>
    <w:lvl w:ilvl="7" w:tplc="4AB20296" w:tentative="1">
      <w:start w:val="1"/>
      <w:numFmt w:val="bullet"/>
      <w:lvlText w:val="•"/>
      <w:lvlJc w:val="left"/>
      <w:pPr>
        <w:tabs>
          <w:tab w:val="num" w:pos="5760"/>
        </w:tabs>
        <w:ind w:left="5760" w:hanging="360"/>
      </w:pPr>
      <w:rPr>
        <w:rFonts w:ascii="Times New Roman" w:hAnsi="Times New Roman" w:hint="default"/>
      </w:rPr>
    </w:lvl>
    <w:lvl w:ilvl="8" w:tplc="9E383BF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5895348"/>
    <w:multiLevelType w:val="hybridMultilevel"/>
    <w:tmpl w:val="530EA650"/>
    <w:lvl w:ilvl="0" w:tplc="E786A368">
      <w:start w:val="1"/>
      <w:numFmt w:val="bullet"/>
      <w:lvlText w:val="•"/>
      <w:lvlJc w:val="left"/>
      <w:pPr>
        <w:tabs>
          <w:tab w:val="num" w:pos="720"/>
        </w:tabs>
        <w:ind w:left="720" w:hanging="360"/>
      </w:pPr>
      <w:rPr>
        <w:rFonts w:ascii="Times New Roman" w:hAnsi="Times New Roman" w:hint="default"/>
      </w:rPr>
    </w:lvl>
    <w:lvl w:ilvl="1" w:tplc="51FC99D8" w:tentative="1">
      <w:start w:val="1"/>
      <w:numFmt w:val="bullet"/>
      <w:lvlText w:val="•"/>
      <w:lvlJc w:val="left"/>
      <w:pPr>
        <w:tabs>
          <w:tab w:val="num" w:pos="1440"/>
        </w:tabs>
        <w:ind w:left="1440" w:hanging="360"/>
      </w:pPr>
      <w:rPr>
        <w:rFonts w:ascii="Times New Roman" w:hAnsi="Times New Roman" w:hint="default"/>
      </w:rPr>
    </w:lvl>
    <w:lvl w:ilvl="2" w:tplc="8A1E2CD0" w:tentative="1">
      <w:start w:val="1"/>
      <w:numFmt w:val="bullet"/>
      <w:lvlText w:val="•"/>
      <w:lvlJc w:val="left"/>
      <w:pPr>
        <w:tabs>
          <w:tab w:val="num" w:pos="2160"/>
        </w:tabs>
        <w:ind w:left="2160" w:hanging="360"/>
      </w:pPr>
      <w:rPr>
        <w:rFonts w:ascii="Times New Roman" w:hAnsi="Times New Roman" w:hint="default"/>
      </w:rPr>
    </w:lvl>
    <w:lvl w:ilvl="3" w:tplc="B0B0E8D0" w:tentative="1">
      <w:start w:val="1"/>
      <w:numFmt w:val="bullet"/>
      <w:lvlText w:val="•"/>
      <w:lvlJc w:val="left"/>
      <w:pPr>
        <w:tabs>
          <w:tab w:val="num" w:pos="2880"/>
        </w:tabs>
        <w:ind w:left="2880" w:hanging="360"/>
      </w:pPr>
      <w:rPr>
        <w:rFonts w:ascii="Times New Roman" w:hAnsi="Times New Roman" w:hint="default"/>
      </w:rPr>
    </w:lvl>
    <w:lvl w:ilvl="4" w:tplc="08B0983A" w:tentative="1">
      <w:start w:val="1"/>
      <w:numFmt w:val="bullet"/>
      <w:lvlText w:val="•"/>
      <w:lvlJc w:val="left"/>
      <w:pPr>
        <w:tabs>
          <w:tab w:val="num" w:pos="3600"/>
        </w:tabs>
        <w:ind w:left="3600" w:hanging="360"/>
      </w:pPr>
      <w:rPr>
        <w:rFonts w:ascii="Times New Roman" w:hAnsi="Times New Roman" w:hint="default"/>
      </w:rPr>
    </w:lvl>
    <w:lvl w:ilvl="5" w:tplc="91B4160A" w:tentative="1">
      <w:start w:val="1"/>
      <w:numFmt w:val="bullet"/>
      <w:lvlText w:val="•"/>
      <w:lvlJc w:val="left"/>
      <w:pPr>
        <w:tabs>
          <w:tab w:val="num" w:pos="4320"/>
        </w:tabs>
        <w:ind w:left="4320" w:hanging="360"/>
      </w:pPr>
      <w:rPr>
        <w:rFonts w:ascii="Times New Roman" w:hAnsi="Times New Roman" w:hint="default"/>
      </w:rPr>
    </w:lvl>
    <w:lvl w:ilvl="6" w:tplc="BB8EA6A2" w:tentative="1">
      <w:start w:val="1"/>
      <w:numFmt w:val="bullet"/>
      <w:lvlText w:val="•"/>
      <w:lvlJc w:val="left"/>
      <w:pPr>
        <w:tabs>
          <w:tab w:val="num" w:pos="5040"/>
        </w:tabs>
        <w:ind w:left="5040" w:hanging="360"/>
      </w:pPr>
      <w:rPr>
        <w:rFonts w:ascii="Times New Roman" w:hAnsi="Times New Roman" w:hint="default"/>
      </w:rPr>
    </w:lvl>
    <w:lvl w:ilvl="7" w:tplc="280235F6" w:tentative="1">
      <w:start w:val="1"/>
      <w:numFmt w:val="bullet"/>
      <w:lvlText w:val="•"/>
      <w:lvlJc w:val="left"/>
      <w:pPr>
        <w:tabs>
          <w:tab w:val="num" w:pos="5760"/>
        </w:tabs>
        <w:ind w:left="5760" w:hanging="360"/>
      </w:pPr>
      <w:rPr>
        <w:rFonts w:ascii="Times New Roman" w:hAnsi="Times New Roman" w:hint="default"/>
      </w:rPr>
    </w:lvl>
    <w:lvl w:ilvl="8" w:tplc="8932AF78"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45934924"/>
    <w:multiLevelType w:val="hybridMultilevel"/>
    <w:tmpl w:val="B86C9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8970CF"/>
    <w:multiLevelType w:val="hybridMultilevel"/>
    <w:tmpl w:val="260284FE"/>
    <w:lvl w:ilvl="0" w:tplc="A636D2AA">
      <w:start w:val="1"/>
      <w:numFmt w:val="bullet"/>
      <w:lvlText w:val="•"/>
      <w:lvlJc w:val="left"/>
      <w:pPr>
        <w:tabs>
          <w:tab w:val="num" w:pos="720"/>
        </w:tabs>
        <w:ind w:left="720" w:hanging="360"/>
      </w:pPr>
      <w:rPr>
        <w:rFonts w:ascii="Times New Roman" w:hAnsi="Times New Roman" w:hint="default"/>
      </w:rPr>
    </w:lvl>
    <w:lvl w:ilvl="1" w:tplc="4D5C2370" w:tentative="1">
      <w:start w:val="1"/>
      <w:numFmt w:val="bullet"/>
      <w:lvlText w:val="•"/>
      <w:lvlJc w:val="left"/>
      <w:pPr>
        <w:tabs>
          <w:tab w:val="num" w:pos="1440"/>
        </w:tabs>
        <w:ind w:left="1440" w:hanging="360"/>
      </w:pPr>
      <w:rPr>
        <w:rFonts w:ascii="Times New Roman" w:hAnsi="Times New Roman" w:hint="default"/>
      </w:rPr>
    </w:lvl>
    <w:lvl w:ilvl="2" w:tplc="E2A0A732" w:tentative="1">
      <w:start w:val="1"/>
      <w:numFmt w:val="bullet"/>
      <w:lvlText w:val="•"/>
      <w:lvlJc w:val="left"/>
      <w:pPr>
        <w:tabs>
          <w:tab w:val="num" w:pos="2160"/>
        </w:tabs>
        <w:ind w:left="2160" w:hanging="360"/>
      </w:pPr>
      <w:rPr>
        <w:rFonts w:ascii="Times New Roman" w:hAnsi="Times New Roman" w:hint="default"/>
      </w:rPr>
    </w:lvl>
    <w:lvl w:ilvl="3" w:tplc="B83200BE" w:tentative="1">
      <w:start w:val="1"/>
      <w:numFmt w:val="bullet"/>
      <w:lvlText w:val="•"/>
      <w:lvlJc w:val="left"/>
      <w:pPr>
        <w:tabs>
          <w:tab w:val="num" w:pos="2880"/>
        </w:tabs>
        <w:ind w:left="2880" w:hanging="360"/>
      </w:pPr>
      <w:rPr>
        <w:rFonts w:ascii="Times New Roman" w:hAnsi="Times New Roman" w:hint="default"/>
      </w:rPr>
    </w:lvl>
    <w:lvl w:ilvl="4" w:tplc="E7BA8E9E" w:tentative="1">
      <w:start w:val="1"/>
      <w:numFmt w:val="bullet"/>
      <w:lvlText w:val="•"/>
      <w:lvlJc w:val="left"/>
      <w:pPr>
        <w:tabs>
          <w:tab w:val="num" w:pos="3600"/>
        </w:tabs>
        <w:ind w:left="3600" w:hanging="360"/>
      </w:pPr>
      <w:rPr>
        <w:rFonts w:ascii="Times New Roman" w:hAnsi="Times New Roman" w:hint="default"/>
      </w:rPr>
    </w:lvl>
    <w:lvl w:ilvl="5" w:tplc="CCA0B11E" w:tentative="1">
      <w:start w:val="1"/>
      <w:numFmt w:val="bullet"/>
      <w:lvlText w:val="•"/>
      <w:lvlJc w:val="left"/>
      <w:pPr>
        <w:tabs>
          <w:tab w:val="num" w:pos="4320"/>
        </w:tabs>
        <w:ind w:left="4320" w:hanging="360"/>
      </w:pPr>
      <w:rPr>
        <w:rFonts w:ascii="Times New Roman" w:hAnsi="Times New Roman" w:hint="default"/>
      </w:rPr>
    </w:lvl>
    <w:lvl w:ilvl="6" w:tplc="4EF2302A" w:tentative="1">
      <w:start w:val="1"/>
      <w:numFmt w:val="bullet"/>
      <w:lvlText w:val="•"/>
      <w:lvlJc w:val="left"/>
      <w:pPr>
        <w:tabs>
          <w:tab w:val="num" w:pos="5040"/>
        </w:tabs>
        <w:ind w:left="5040" w:hanging="360"/>
      </w:pPr>
      <w:rPr>
        <w:rFonts w:ascii="Times New Roman" w:hAnsi="Times New Roman" w:hint="default"/>
      </w:rPr>
    </w:lvl>
    <w:lvl w:ilvl="7" w:tplc="4770EE62" w:tentative="1">
      <w:start w:val="1"/>
      <w:numFmt w:val="bullet"/>
      <w:lvlText w:val="•"/>
      <w:lvlJc w:val="left"/>
      <w:pPr>
        <w:tabs>
          <w:tab w:val="num" w:pos="5760"/>
        </w:tabs>
        <w:ind w:left="5760" w:hanging="360"/>
      </w:pPr>
      <w:rPr>
        <w:rFonts w:ascii="Times New Roman" w:hAnsi="Times New Roman" w:hint="default"/>
      </w:rPr>
    </w:lvl>
    <w:lvl w:ilvl="8" w:tplc="D08C4AD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50826051"/>
    <w:multiLevelType w:val="hybridMultilevel"/>
    <w:tmpl w:val="FC084E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2B3269"/>
    <w:multiLevelType w:val="hybridMultilevel"/>
    <w:tmpl w:val="C9904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5619B5"/>
    <w:multiLevelType w:val="hybridMultilevel"/>
    <w:tmpl w:val="4DA41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1F60AD"/>
    <w:multiLevelType w:val="multilevel"/>
    <w:tmpl w:val="67A234DE"/>
    <w:lvl w:ilvl="0">
      <w:start w:val="1"/>
      <w:numFmt w:val="decimal"/>
      <w:lvlText w:val="%1."/>
      <w:lvlJc w:val="left"/>
      <w:pPr>
        <w:ind w:left="360" w:hanging="360"/>
      </w:pPr>
      <w:rPr>
        <w:rFonts w:ascii="Verdana" w:hAnsi="Verdana" w:hint="default"/>
        <w:sz w:val="24"/>
        <w:szCs w:val="24"/>
      </w:rPr>
    </w:lvl>
    <w:lvl w:ilvl="1">
      <w:start w:val="12"/>
      <w:numFmt w:val="decimal"/>
      <w:isLgl/>
      <w:lvlText w:val="%1.%2"/>
      <w:lvlJc w:val="left"/>
      <w:pPr>
        <w:ind w:left="756" w:hanging="756"/>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2" w15:restartNumberingAfterBreak="0">
    <w:nsid w:val="6D745703"/>
    <w:multiLevelType w:val="hybridMultilevel"/>
    <w:tmpl w:val="A5F0666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7A6A178E"/>
    <w:multiLevelType w:val="hybridMultilevel"/>
    <w:tmpl w:val="B8B23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F545FC"/>
    <w:multiLevelType w:val="hybridMultilevel"/>
    <w:tmpl w:val="2F4A9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23"/>
  </w:num>
  <w:num w:numId="4">
    <w:abstractNumId w:val="2"/>
  </w:num>
  <w:num w:numId="5">
    <w:abstractNumId w:val="9"/>
  </w:num>
  <w:num w:numId="6">
    <w:abstractNumId w:val="20"/>
  </w:num>
  <w:num w:numId="7">
    <w:abstractNumId w:val="5"/>
  </w:num>
  <w:num w:numId="8">
    <w:abstractNumId w:val="22"/>
  </w:num>
  <w:num w:numId="9">
    <w:abstractNumId w:val="1"/>
  </w:num>
  <w:num w:numId="10">
    <w:abstractNumId w:val="10"/>
  </w:num>
  <w:num w:numId="11">
    <w:abstractNumId w:val="14"/>
  </w:num>
  <w:num w:numId="12">
    <w:abstractNumId w:val="15"/>
  </w:num>
  <w:num w:numId="13">
    <w:abstractNumId w:val="8"/>
  </w:num>
  <w:num w:numId="14">
    <w:abstractNumId w:val="17"/>
  </w:num>
  <w:num w:numId="15">
    <w:abstractNumId w:val="7"/>
  </w:num>
  <w:num w:numId="16">
    <w:abstractNumId w:val="12"/>
  </w:num>
  <w:num w:numId="17">
    <w:abstractNumId w:val="6"/>
  </w:num>
  <w:num w:numId="18">
    <w:abstractNumId w:val="11"/>
  </w:num>
  <w:num w:numId="19">
    <w:abstractNumId w:val="13"/>
  </w:num>
  <w:num w:numId="20">
    <w:abstractNumId w:val="24"/>
  </w:num>
  <w:num w:numId="21">
    <w:abstractNumId w:val="19"/>
  </w:num>
  <w:num w:numId="22">
    <w:abstractNumId w:val="18"/>
  </w:num>
  <w:num w:numId="23">
    <w:abstractNumId w:val="3"/>
  </w:num>
  <w:num w:numId="24">
    <w:abstractNumId w:val="16"/>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412"/>
    <w:rsid w:val="00022161"/>
    <w:rsid w:val="000234F3"/>
    <w:rsid w:val="00030A22"/>
    <w:rsid w:val="00037896"/>
    <w:rsid w:val="00040929"/>
    <w:rsid w:val="0004202E"/>
    <w:rsid w:val="000425BD"/>
    <w:rsid w:val="00043BF2"/>
    <w:rsid w:val="0008110E"/>
    <w:rsid w:val="000B76DB"/>
    <w:rsid w:val="00104BD5"/>
    <w:rsid w:val="001051D6"/>
    <w:rsid w:val="001126D5"/>
    <w:rsid w:val="00195D54"/>
    <w:rsid w:val="001A3281"/>
    <w:rsid w:val="001A3B37"/>
    <w:rsid w:val="001B3708"/>
    <w:rsid w:val="001E0A30"/>
    <w:rsid w:val="002029DE"/>
    <w:rsid w:val="00205FA2"/>
    <w:rsid w:val="0023656D"/>
    <w:rsid w:val="002927B7"/>
    <w:rsid w:val="002B504B"/>
    <w:rsid w:val="002D28EC"/>
    <w:rsid w:val="002E13DB"/>
    <w:rsid w:val="002F45FB"/>
    <w:rsid w:val="0032716A"/>
    <w:rsid w:val="003477E6"/>
    <w:rsid w:val="0039362E"/>
    <w:rsid w:val="003A2F43"/>
    <w:rsid w:val="003A347C"/>
    <w:rsid w:val="003D2AF8"/>
    <w:rsid w:val="003D701C"/>
    <w:rsid w:val="003E3E7A"/>
    <w:rsid w:val="00402052"/>
    <w:rsid w:val="00411ACE"/>
    <w:rsid w:val="00425C74"/>
    <w:rsid w:val="0043665C"/>
    <w:rsid w:val="00443AC5"/>
    <w:rsid w:val="004541B8"/>
    <w:rsid w:val="004651ED"/>
    <w:rsid w:val="004669F6"/>
    <w:rsid w:val="0048114D"/>
    <w:rsid w:val="004A5AE3"/>
    <w:rsid w:val="004A5C81"/>
    <w:rsid w:val="004B3EF9"/>
    <w:rsid w:val="004D4745"/>
    <w:rsid w:val="004E5827"/>
    <w:rsid w:val="004F0440"/>
    <w:rsid w:val="005213CE"/>
    <w:rsid w:val="005326CD"/>
    <w:rsid w:val="00566665"/>
    <w:rsid w:val="00580719"/>
    <w:rsid w:val="00582221"/>
    <w:rsid w:val="00583D6F"/>
    <w:rsid w:val="005C2D4E"/>
    <w:rsid w:val="005D1CA0"/>
    <w:rsid w:val="005F0444"/>
    <w:rsid w:val="005F4D64"/>
    <w:rsid w:val="00621416"/>
    <w:rsid w:val="00642565"/>
    <w:rsid w:val="00663A71"/>
    <w:rsid w:val="006642D6"/>
    <w:rsid w:val="006750F9"/>
    <w:rsid w:val="00676A6B"/>
    <w:rsid w:val="00681863"/>
    <w:rsid w:val="006C7820"/>
    <w:rsid w:val="006F11EA"/>
    <w:rsid w:val="00702238"/>
    <w:rsid w:val="007030CA"/>
    <w:rsid w:val="00710681"/>
    <w:rsid w:val="00712842"/>
    <w:rsid w:val="007277DD"/>
    <w:rsid w:val="00736ADD"/>
    <w:rsid w:val="00754141"/>
    <w:rsid w:val="00780DE8"/>
    <w:rsid w:val="0078124B"/>
    <w:rsid w:val="00787E23"/>
    <w:rsid w:val="007A516D"/>
    <w:rsid w:val="007A5265"/>
    <w:rsid w:val="007B0F53"/>
    <w:rsid w:val="007B4EA6"/>
    <w:rsid w:val="007C414D"/>
    <w:rsid w:val="007E173A"/>
    <w:rsid w:val="00803C90"/>
    <w:rsid w:val="008216AA"/>
    <w:rsid w:val="00843166"/>
    <w:rsid w:val="00866C2A"/>
    <w:rsid w:val="00871470"/>
    <w:rsid w:val="008749F5"/>
    <w:rsid w:val="008864AF"/>
    <w:rsid w:val="00886EE9"/>
    <w:rsid w:val="008A625C"/>
    <w:rsid w:val="008B17F3"/>
    <w:rsid w:val="008E1410"/>
    <w:rsid w:val="008F65EE"/>
    <w:rsid w:val="00904AEC"/>
    <w:rsid w:val="00904F4D"/>
    <w:rsid w:val="00930ED6"/>
    <w:rsid w:val="00934CC5"/>
    <w:rsid w:val="009434A6"/>
    <w:rsid w:val="00946892"/>
    <w:rsid w:val="00947EAF"/>
    <w:rsid w:val="009674D7"/>
    <w:rsid w:val="00992FBF"/>
    <w:rsid w:val="0099432D"/>
    <w:rsid w:val="00996F3E"/>
    <w:rsid w:val="009B39FF"/>
    <w:rsid w:val="009D142C"/>
    <w:rsid w:val="009F10AD"/>
    <w:rsid w:val="00A07412"/>
    <w:rsid w:val="00A645A7"/>
    <w:rsid w:val="00A82C60"/>
    <w:rsid w:val="00A87496"/>
    <w:rsid w:val="00AA3204"/>
    <w:rsid w:val="00AC304D"/>
    <w:rsid w:val="00AD0660"/>
    <w:rsid w:val="00AE19E6"/>
    <w:rsid w:val="00AF7C12"/>
    <w:rsid w:val="00B35802"/>
    <w:rsid w:val="00B36570"/>
    <w:rsid w:val="00B45D64"/>
    <w:rsid w:val="00B72E28"/>
    <w:rsid w:val="00B8740D"/>
    <w:rsid w:val="00B900C1"/>
    <w:rsid w:val="00B94373"/>
    <w:rsid w:val="00BC6B8E"/>
    <w:rsid w:val="00BD6A41"/>
    <w:rsid w:val="00BE3C44"/>
    <w:rsid w:val="00C0178A"/>
    <w:rsid w:val="00C21FEC"/>
    <w:rsid w:val="00C257A0"/>
    <w:rsid w:val="00C30EBD"/>
    <w:rsid w:val="00C423EF"/>
    <w:rsid w:val="00C81E33"/>
    <w:rsid w:val="00C84804"/>
    <w:rsid w:val="00C9755D"/>
    <w:rsid w:val="00CA27A4"/>
    <w:rsid w:val="00CB2AA7"/>
    <w:rsid w:val="00CB53B8"/>
    <w:rsid w:val="00CD5144"/>
    <w:rsid w:val="00CD7CB7"/>
    <w:rsid w:val="00CE05EB"/>
    <w:rsid w:val="00CF06FF"/>
    <w:rsid w:val="00CF142F"/>
    <w:rsid w:val="00CF25FF"/>
    <w:rsid w:val="00D05094"/>
    <w:rsid w:val="00D0533A"/>
    <w:rsid w:val="00D11529"/>
    <w:rsid w:val="00D23E49"/>
    <w:rsid w:val="00D3694D"/>
    <w:rsid w:val="00D725F4"/>
    <w:rsid w:val="00D8314F"/>
    <w:rsid w:val="00D83D22"/>
    <w:rsid w:val="00D87505"/>
    <w:rsid w:val="00D96F10"/>
    <w:rsid w:val="00DB5D56"/>
    <w:rsid w:val="00DD1E09"/>
    <w:rsid w:val="00DE530F"/>
    <w:rsid w:val="00E1677F"/>
    <w:rsid w:val="00E22FE4"/>
    <w:rsid w:val="00E25626"/>
    <w:rsid w:val="00E27B8E"/>
    <w:rsid w:val="00E30524"/>
    <w:rsid w:val="00E3565B"/>
    <w:rsid w:val="00E37907"/>
    <w:rsid w:val="00E42801"/>
    <w:rsid w:val="00E46CDA"/>
    <w:rsid w:val="00E47934"/>
    <w:rsid w:val="00E656B0"/>
    <w:rsid w:val="00E95B22"/>
    <w:rsid w:val="00EA58E9"/>
    <w:rsid w:val="00EB1B81"/>
    <w:rsid w:val="00EB266B"/>
    <w:rsid w:val="00EC3823"/>
    <w:rsid w:val="00EC4A66"/>
    <w:rsid w:val="00EC5242"/>
    <w:rsid w:val="00ED4818"/>
    <w:rsid w:val="00EF33E7"/>
    <w:rsid w:val="00EF7894"/>
    <w:rsid w:val="00F2326E"/>
    <w:rsid w:val="00F33CB2"/>
    <w:rsid w:val="00F41653"/>
    <w:rsid w:val="00F418A9"/>
    <w:rsid w:val="00F43133"/>
    <w:rsid w:val="00F57998"/>
    <w:rsid w:val="00FB6E98"/>
    <w:rsid w:val="00FE1E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AE29AA4"/>
  <w15:chartTrackingRefBased/>
  <w15:docId w15:val="{1F351693-6A13-4844-B1BA-B36E9DFB8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7412"/>
    <w:pPr>
      <w:spacing w:after="0" w:line="240" w:lineRule="auto"/>
    </w:pPr>
    <w:rPr>
      <w:rFonts w:ascii="Times New Roman" w:eastAsia="Times New Roman" w:hAnsi="Times New Roman" w:cs="Times New Roman"/>
      <w:sz w:val="24"/>
      <w:szCs w:val="24"/>
      <w:lang w:eastAsia="en-GB"/>
    </w:rPr>
  </w:style>
  <w:style w:type="paragraph" w:styleId="Heading2">
    <w:name w:val="heading 2"/>
    <w:basedOn w:val="Normal"/>
    <w:next w:val="Normal"/>
    <w:link w:val="Heading2Char"/>
    <w:uiPriority w:val="9"/>
    <w:unhideWhenUsed/>
    <w:qFormat/>
    <w:rsid w:val="00D05094"/>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126D5"/>
    <w:pPr>
      <w:spacing w:before="100" w:beforeAutospacing="1" w:after="100" w:afterAutospacing="1"/>
    </w:pPr>
  </w:style>
  <w:style w:type="paragraph" w:styleId="ListParagraph">
    <w:name w:val="List Paragraph"/>
    <w:basedOn w:val="Normal"/>
    <w:uiPriority w:val="34"/>
    <w:qFormat/>
    <w:rsid w:val="003A2F43"/>
    <w:pPr>
      <w:ind w:left="720"/>
    </w:pPr>
    <w:rPr>
      <w:rFonts w:ascii="Arial" w:hAnsi="Arial"/>
      <w:lang w:eastAsia="en-US"/>
    </w:rPr>
  </w:style>
  <w:style w:type="table" w:styleId="TableGrid">
    <w:name w:val="Table Grid"/>
    <w:basedOn w:val="TableNormal"/>
    <w:uiPriority w:val="59"/>
    <w:rsid w:val="00CB2AA7"/>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Char"/>
    <w:rsid w:val="00CB2AA7"/>
    <w:pPr>
      <w:autoSpaceDE w:val="0"/>
      <w:autoSpaceDN w:val="0"/>
      <w:adjustRightInd w:val="0"/>
      <w:spacing w:after="0" w:line="240" w:lineRule="auto"/>
    </w:pPr>
    <w:rPr>
      <w:rFonts w:ascii="Arial" w:eastAsia="Calibri" w:hAnsi="Arial" w:cs="Arial"/>
      <w:color w:val="000000"/>
      <w:sz w:val="24"/>
      <w:szCs w:val="24"/>
      <w:lang w:eastAsia="en-GB"/>
    </w:rPr>
  </w:style>
  <w:style w:type="character" w:customStyle="1" w:styleId="DefaultChar">
    <w:name w:val="Default Char"/>
    <w:link w:val="Default"/>
    <w:locked/>
    <w:rsid w:val="00CB2AA7"/>
    <w:rPr>
      <w:rFonts w:ascii="Arial" w:eastAsia="Calibri" w:hAnsi="Arial" w:cs="Arial"/>
      <w:color w:val="000000"/>
      <w:sz w:val="24"/>
      <w:szCs w:val="24"/>
      <w:lang w:eastAsia="en-GB"/>
    </w:rPr>
  </w:style>
  <w:style w:type="character" w:styleId="CommentReference">
    <w:name w:val="annotation reference"/>
    <w:basedOn w:val="DefaultParagraphFont"/>
    <w:uiPriority w:val="99"/>
    <w:semiHidden/>
    <w:unhideWhenUsed/>
    <w:rsid w:val="00443AC5"/>
    <w:rPr>
      <w:sz w:val="16"/>
      <w:szCs w:val="16"/>
    </w:rPr>
  </w:style>
  <w:style w:type="paragraph" w:styleId="CommentText">
    <w:name w:val="annotation text"/>
    <w:basedOn w:val="Normal"/>
    <w:link w:val="CommentTextChar"/>
    <w:uiPriority w:val="99"/>
    <w:semiHidden/>
    <w:unhideWhenUsed/>
    <w:rsid w:val="00443AC5"/>
    <w:rPr>
      <w:sz w:val="20"/>
      <w:szCs w:val="20"/>
    </w:rPr>
  </w:style>
  <w:style w:type="character" w:customStyle="1" w:styleId="CommentTextChar">
    <w:name w:val="Comment Text Char"/>
    <w:basedOn w:val="DefaultParagraphFont"/>
    <w:link w:val="CommentText"/>
    <w:uiPriority w:val="99"/>
    <w:semiHidden/>
    <w:rsid w:val="00443AC5"/>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43AC5"/>
    <w:rPr>
      <w:b/>
      <w:bCs/>
    </w:rPr>
  </w:style>
  <w:style w:type="character" w:customStyle="1" w:styleId="CommentSubjectChar">
    <w:name w:val="Comment Subject Char"/>
    <w:basedOn w:val="CommentTextChar"/>
    <w:link w:val="CommentSubject"/>
    <w:uiPriority w:val="99"/>
    <w:semiHidden/>
    <w:rsid w:val="00443AC5"/>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443AC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3AC5"/>
    <w:rPr>
      <w:rFonts w:ascii="Segoe UI" w:eastAsia="Times New Roman" w:hAnsi="Segoe UI" w:cs="Segoe UI"/>
      <w:sz w:val="18"/>
      <w:szCs w:val="18"/>
      <w:lang w:eastAsia="en-GB"/>
    </w:rPr>
  </w:style>
  <w:style w:type="character" w:styleId="Hyperlink">
    <w:name w:val="Hyperlink"/>
    <w:basedOn w:val="DefaultParagraphFont"/>
    <w:uiPriority w:val="99"/>
    <w:unhideWhenUsed/>
    <w:rsid w:val="00DE530F"/>
    <w:rPr>
      <w:color w:val="0563C1" w:themeColor="hyperlink"/>
      <w:u w:val="single"/>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205FA2"/>
    <w:pPr>
      <w:widowControl w:val="0"/>
      <w:overflowPunct w:val="0"/>
      <w:autoSpaceDE w:val="0"/>
      <w:autoSpaceDN w:val="0"/>
      <w:adjustRightInd w:val="0"/>
      <w:textAlignment w:val="baseline"/>
    </w:pPr>
    <w:rPr>
      <w:rFonts w:ascii="Verdana" w:hAnsi="Verdana"/>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205FA2"/>
    <w:rPr>
      <w:rFonts w:ascii="Verdana" w:eastAsia="Times New Roman" w:hAnsi="Verdana" w:cs="Times New Roman"/>
      <w:sz w:val="20"/>
      <w:szCs w:val="20"/>
      <w:lang w:val="en-US"/>
    </w:rPr>
  </w:style>
  <w:style w:type="paragraph" w:styleId="FootnoteText">
    <w:name w:val="footnote text"/>
    <w:basedOn w:val="Normal"/>
    <w:link w:val="FootnoteTextChar"/>
    <w:uiPriority w:val="99"/>
    <w:unhideWhenUsed/>
    <w:rsid w:val="00F2326E"/>
    <w:rPr>
      <w:sz w:val="20"/>
      <w:szCs w:val="20"/>
    </w:rPr>
  </w:style>
  <w:style w:type="character" w:customStyle="1" w:styleId="FootnoteTextChar">
    <w:name w:val="Footnote Text Char"/>
    <w:basedOn w:val="DefaultParagraphFont"/>
    <w:link w:val="FootnoteText"/>
    <w:uiPriority w:val="99"/>
    <w:rsid w:val="00F2326E"/>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unhideWhenUsed/>
    <w:rsid w:val="00F2326E"/>
    <w:rPr>
      <w:vertAlign w:val="superscript"/>
    </w:rPr>
  </w:style>
  <w:style w:type="character" w:styleId="Strong">
    <w:name w:val="Strong"/>
    <w:basedOn w:val="DefaultParagraphFont"/>
    <w:uiPriority w:val="22"/>
    <w:qFormat/>
    <w:rsid w:val="007C414D"/>
    <w:rPr>
      <w:b/>
      <w:bCs/>
    </w:rPr>
  </w:style>
  <w:style w:type="character" w:customStyle="1" w:styleId="Heading2Char">
    <w:name w:val="Heading 2 Char"/>
    <w:basedOn w:val="DefaultParagraphFont"/>
    <w:link w:val="Heading2"/>
    <w:uiPriority w:val="9"/>
    <w:rsid w:val="00D05094"/>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996F3E"/>
    <w:pPr>
      <w:tabs>
        <w:tab w:val="center" w:pos="4513"/>
        <w:tab w:val="right" w:pos="9026"/>
      </w:tabs>
    </w:pPr>
  </w:style>
  <w:style w:type="character" w:customStyle="1" w:styleId="HeaderChar">
    <w:name w:val="Header Char"/>
    <w:basedOn w:val="DefaultParagraphFont"/>
    <w:link w:val="Header"/>
    <w:uiPriority w:val="99"/>
    <w:rsid w:val="00996F3E"/>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96F3E"/>
    <w:pPr>
      <w:tabs>
        <w:tab w:val="center" w:pos="4513"/>
        <w:tab w:val="right" w:pos="9026"/>
      </w:tabs>
    </w:pPr>
  </w:style>
  <w:style w:type="character" w:customStyle="1" w:styleId="FooterChar">
    <w:name w:val="Footer Char"/>
    <w:basedOn w:val="DefaultParagraphFont"/>
    <w:link w:val="Footer"/>
    <w:uiPriority w:val="99"/>
    <w:rsid w:val="00996F3E"/>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36ADD"/>
    <w:rPr>
      <w:color w:val="954F72" w:themeColor="followedHyperlink"/>
      <w:u w:val="single"/>
    </w:rPr>
  </w:style>
  <w:style w:type="character" w:customStyle="1" w:styleId="normaltextrun">
    <w:name w:val="normaltextrun"/>
    <w:basedOn w:val="DefaultParagraphFont"/>
    <w:rsid w:val="00871470"/>
  </w:style>
  <w:style w:type="table" w:styleId="PlainTable4">
    <w:name w:val="Plain Table 4"/>
    <w:basedOn w:val="TableNormal"/>
    <w:uiPriority w:val="44"/>
    <w:rsid w:val="0087147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sid w:val="008714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538970">
      <w:bodyDiv w:val="1"/>
      <w:marLeft w:val="0"/>
      <w:marRight w:val="0"/>
      <w:marTop w:val="0"/>
      <w:marBottom w:val="0"/>
      <w:divBdr>
        <w:top w:val="none" w:sz="0" w:space="0" w:color="auto"/>
        <w:left w:val="none" w:sz="0" w:space="0" w:color="auto"/>
        <w:bottom w:val="none" w:sz="0" w:space="0" w:color="auto"/>
        <w:right w:val="none" w:sz="0" w:space="0" w:color="auto"/>
      </w:divBdr>
    </w:div>
    <w:div w:id="297951453">
      <w:bodyDiv w:val="1"/>
      <w:marLeft w:val="0"/>
      <w:marRight w:val="0"/>
      <w:marTop w:val="0"/>
      <w:marBottom w:val="0"/>
      <w:divBdr>
        <w:top w:val="none" w:sz="0" w:space="0" w:color="auto"/>
        <w:left w:val="none" w:sz="0" w:space="0" w:color="auto"/>
        <w:bottom w:val="none" w:sz="0" w:space="0" w:color="auto"/>
        <w:right w:val="none" w:sz="0" w:space="0" w:color="auto"/>
      </w:divBdr>
    </w:div>
    <w:div w:id="445777352">
      <w:bodyDiv w:val="1"/>
      <w:marLeft w:val="0"/>
      <w:marRight w:val="0"/>
      <w:marTop w:val="0"/>
      <w:marBottom w:val="0"/>
      <w:divBdr>
        <w:top w:val="none" w:sz="0" w:space="0" w:color="auto"/>
        <w:left w:val="none" w:sz="0" w:space="0" w:color="auto"/>
        <w:bottom w:val="none" w:sz="0" w:space="0" w:color="auto"/>
        <w:right w:val="none" w:sz="0" w:space="0" w:color="auto"/>
      </w:divBdr>
    </w:div>
    <w:div w:id="485974956">
      <w:bodyDiv w:val="1"/>
      <w:marLeft w:val="0"/>
      <w:marRight w:val="0"/>
      <w:marTop w:val="0"/>
      <w:marBottom w:val="0"/>
      <w:divBdr>
        <w:top w:val="none" w:sz="0" w:space="0" w:color="auto"/>
        <w:left w:val="none" w:sz="0" w:space="0" w:color="auto"/>
        <w:bottom w:val="none" w:sz="0" w:space="0" w:color="auto"/>
        <w:right w:val="none" w:sz="0" w:space="0" w:color="auto"/>
      </w:divBdr>
    </w:div>
    <w:div w:id="507720098">
      <w:bodyDiv w:val="1"/>
      <w:marLeft w:val="0"/>
      <w:marRight w:val="0"/>
      <w:marTop w:val="0"/>
      <w:marBottom w:val="0"/>
      <w:divBdr>
        <w:top w:val="none" w:sz="0" w:space="0" w:color="auto"/>
        <w:left w:val="none" w:sz="0" w:space="0" w:color="auto"/>
        <w:bottom w:val="none" w:sz="0" w:space="0" w:color="auto"/>
        <w:right w:val="none" w:sz="0" w:space="0" w:color="auto"/>
      </w:divBdr>
      <w:divsChild>
        <w:div w:id="1297023669">
          <w:marLeft w:val="547"/>
          <w:marRight w:val="0"/>
          <w:marTop w:val="134"/>
          <w:marBottom w:val="0"/>
          <w:divBdr>
            <w:top w:val="none" w:sz="0" w:space="0" w:color="auto"/>
            <w:left w:val="none" w:sz="0" w:space="0" w:color="auto"/>
            <w:bottom w:val="none" w:sz="0" w:space="0" w:color="auto"/>
            <w:right w:val="none" w:sz="0" w:space="0" w:color="auto"/>
          </w:divBdr>
        </w:div>
        <w:div w:id="295137336">
          <w:marLeft w:val="547"/>
          <w:marRight w:val="0"/>
          <w:marTop w:val="134"/>
          <w:marBottom w:val="0"/>
          <w:divBdr>
            <w:top w:val="none" w:sz="0" w:space="0" w:color="auto"/>
            <w:left w:val="none" w:sz="0" w:space="0" w:color="auto"/>
            <w:bottom w:val="none" w:sz="0" w:space="0" w:color="auto"/>
            <w:right w:val="none" w:sz="0" w:space="0" w:color="auto"/>
          </w:divBdr>
        </w:div>
        <w:div w:id="584462754">
          <w:marLeft w:val="547"/>
          <w:marRight w:val="0"/>
          <w:marTop w:val="134"/>
          <w:marBottom w:val="0"/>
          <w:divBdr>
            <w:top w:val="none" w:sz="0" w:space="0" w:color="auto"/>
            <w:left w:val="none" w:sz="0" w:space="0" w:color="auto"/>
            <w:bottom w:val="none" w:sz="0" w:space="0" w:color="auto"/>
            <w:right w:val="none" w:sz="0" w:space="0" w:color="auto"/>
          </w:divBdr>
        </w:div>
        <w:div w:id="17658736">
          <w:marLeft w:val="547"/>
          <w:marRight w:val="0"/>
          <w:marTop w:val="134"/>
          <w:marBottom w:val="0"/>
          <w:divBdr>
            <w:top w:val="none" w:sz="0" w:space="0" w:color="auto"/>
            <w:left w:val="none" w:sz="0" w:space="0" w:color="auto"/>
            <w:bottom w:val="none" w:sz="0" w:space="0" w:color="auto"/>
            <w:right w:val="none" w:sz="0" w:space="0" w:color="auto"/>
          </w:divBdr>
        </w:div>
        <w:div w:id="902642223">
          <w:marLeft w:val="547"/>
          <w:marRight w:val="0"/>
          <w:marTop w:val="134"/>
          <w:marBottom w:val="0"/>
          <w:divBdr>
            <w:top w:val="none" w:sz="0" w:space="0" w:color="auto"/>
            <w:left w:val="none" w:sz="0" w:space="0" w:color="auto"/>
            <w:bottom w:val="none" w:sz="0" w:space="0" w:color="auto"/>
            <w:right w:val="none" w:sz="0" w:space="0" w:color="auto"/>
          </w:divBdr>
        </w:div>
        <w:div w:id="1574968980">
          <w:marLeft w:val="547"/>
          <w:marRight w:val="0"/>
          <w:marTop w:val="134"/>
          <w:marBottom w:val="0"/>
          <w:divBdr>
            <w:top w:val="none" w:sz="0" w:space="0" w:color="auto"/>
            <w:left w:val="none" w:sz="0" w:space="0" w:color="auto"/>
            <w:bottom w:val="none" w:sz="0" w:space="0" w:color="auto"/>
            <w:right w:val="none" w:sz="0" w:space="0" w:color="auto"/>
          </w:divBdr>
        </w:div>
      </w:divsChild>
    </w:div>
    <w:div w:id="658653514">
      <w:bodyDiv w:val="1"/>
      <w:marLeft w:val="0"/>
      <w:marRight w:val="0"/>
      <w:marTop w:val="0"/>
      <w:marBottom w:val="0"/>
      <w:divBdr>
        <w:top w:val="none" w:sz="0" w:space="0" w:color="auto"/>
        <w:left w:val="none" w:sz="0" w:space="0" w:color="auto"/>
        <w:bottom w:val="none" w:sz="0" w:space="0" w:color="auto"/>
        <w:right w:val="none" w:sz="0" w:space="0" w:color="auto"/>
      </w:divBdr>
    </w:div>
    <w:div w:id="735519716">
      <w:bodyDiv w:val="1"/>
      <w:marLeft w:val="0"/>
      <w:marRight w:val="0"/>
      <w:marTop w:val="0"/>
      <w:marBottom w:val="0"/>
      <w:divBdr>
        <w:top w:val="none" w:sz="0" w:space="0" w:color="auto"/>
        <w:left w:val="none" w:sz="0" w:space="0" w:color="auto"/>
        <w:bottom w:val="none" w:sz="0" w:space="0" w:color="auto"/>
        <w:right w:val="none" w:sz="0" w:space="0" w:color="auto"/>
      </w:divBdr>
      <w:divsChild>
        <w:div w:id="375475206">
          <w:marLeft w:val="547"/>
          <w:marRight w:val="0"/>
          <w:marTop w:val="134"/>
          <w:marBottom w:val="0"/>
          <w:divBdr>
            <w:top w:val="none" w:sz="0" w:space="0" w:color="auto"/>
            <w:left w:val="none" w:sz="0" w:space="0" w:color="auto"/>
            <w:bottom w:val="none" w:sz="0" w:space="0" w:color="auto"/>
            <w:right w:val="none" w:sz="0" w:space="0" w:color="auto"/>
          </w:divBdr>
        </w:div>
      </w:divsChild>
    </w:div>
    <w:div w:id="751201214">
      <w:bodyDiv w:val="1"/>
      <w:marLeft w:val="0"/>
      <w:marRight w:val="0"/>
      <w:marTop w:val="0"/>
      <w:marBottom w:val="0"/>
      <w:divBdr>
        <w:top w:val="none" w:sz="0" w:space="0" w:color="auto"/>
        <w:left w:val="none" w:sz="0" w:space="0" w:color="auto"/>
        <w:bottom w:val="none" w:sz="0" w:space="0" w:color="auto"/>
        <w:right w:val="none" w:sz="0" w:space="0" w:color="auto"/>
      </w:divBdr>
      <w:divsChild>
        <w:div w:id="1872187988">
          <w:marLeft w:val="547"/>
          <w:marRight w:val="0"/>
          <w:marTop w:val="134"/>
          <w:marBottom w:val="0"/>
          <w:divBdr>
            <w:top w:val="none" w:sz="0" w:space="0" w:color="auto"/>
            <w:left w:val="none" w:sz="0" w:space="0" w:color="auto"/>
            <w:bottom w:val="none" w:sz="0" w:space="0" w:color="auto"/>
            <w:right w:val="none" w:sz="0" w:space="0" w:color="auto"/>
          </w:divBdr>
        </w:div>
        <w:div w:id="246617383">
          <w:marLeft w:val="547"/>
          <w:marRight w:val="0"/>
          <w:marTop w:val="134"/>
          <w:marBottom w:val="0"/>
          <w:divBdr>
            <w:top w:val="none" w:sz="0" w:space="0" w:color="auto"/>
            <w:left w:val="none" w:sz="0" w:space="0" w:color="auto"/>
            <w:bottom w:val="none" w:sz="0" w:space="0" w:color="auto"/>
            <w:right w:val="none" w:sz="0" w:space="0" w:color="auto"/>
          </w:divBdr>
        </w:div>
        <w:div w:id="567424402">
          <w:marLeft w:val="547"/>
          <w:marRight w:val="0"/>
          <w:marTop w:val="134"/>
          <w:marBottom w:val="0"/>
          <w:divBdr>
            <w:top w:val="none" w:sz="0" w:space="0" w:color="auto"/>
            <w:left w:val="none" w:sz="0" w:space="0" w:color="auto"/>
            <w:bottom w:val="none" w:sz="0" w:space="0" w:color="auto"/>
            <w:right w:val="none" w:sz="0" w:space="0" w:color="auto"/>
          </w:divBdr>
        </w:div>
        <w:div w:id="265620152">
          <w:marLeft w:val="547"/>
          <w:marRight w:val="0"/>
          <w:marTop w:val="134"/>
          <w:marBottom w:val="0"/>
          <w:divBdr>
            <w:top w:val="none" w:sz="0" w:space="0" w:color="auto"/>
            <w:left w:val="none" w:sz="0" w:space="0" w:color="auto"/>
            <w:bottom w:val="none" w:sz="0" w:space="0" w:color="auto"/>
            <w:right w:val="none" w:sz="0" w:space="0" w:color="auto"/>
          </w:divBdr>
        </w:div>
      </w:divsChild>
    </w:div>
    <w:div w:id="991910702">
      <w:bodyDiv w:val="1"/>
      <w:marLeft w:val="0"/>
      <w:marRight w:val="0"/>
      <w:marTop w:val="0"/>
      <w:marBottom w:val="0"/>
      <w:divBdr>
        <w:top w:val="none" w:sz="0" w:space="0" w:color="auto"/>
        <w:left w:val="none" w:sz="0" w:space="0" w:color="auto"/>
        <w:bottom w:val="none" w:sz="0" w:space="0" w:color="auto"/>
        <w:right w:val="none" w:sz="0" w:space="0" w:color="auto"/>
      </w:divBdr>
    </w:div>
    <w:div w:id="1153373528">
      <w:bodyDiv w:val="1"/>
      <w:marLeft w:val="0"/>
      <w:marRight w:val="0"/>
      <w:marTop w:val="0"/>
      <w:marBottom w:val="0"/>
      <w:divBdr>
        <w:top w:val="none" w:sz="0" w:space="0" w:color="auto"/>
        <w:left w:val="none" w:sz="0" w:space="0" w:color="auto"/>
        <w:bottom w:val="none" w:sz="0" w:space="0" w:color="auto"/>
        <w:right w:val="none" w:sz="0" w:space="0" w:color="auto"/>
      </w:divBdr>
    </w:div>
    <w:div w:id="1358700509">
      <w:bodyDiv w:val="1"/>
      <w:marLeft w:val="0"/>
      <w:marRight w:val="0"/>
      <w:marTop w:val="0"/>
      <w:marBottom w:val="0"/>
      <w:divBdr>
        <w:top w:val="none" w:sz="0" w:space="0" w:color="auto"/>
        <w:left w:val="none" w:sz="0" w:space="0" w:color="auto"/>
        <w:bottom w:val="none" w:sz="0" w:space="0" w:color="auto"/>
        <w:right w:val="none" w:sz="0" w:space="0" w:color="auto"/>
      </w:divBdr>
    </w:div>
    <w:div w:id="1378235578">
      <w:bodyDiv w:val="1"/>
      <w:marLeft w:val="0"/>
      <w:marRight w:val="0"/>
      <w:marTop w:val="0"/>
      <w:marBottom w:val="0"/>
      <w:divBdr>
        <w:top w:val="none" w:sz="0" w:space="0" w:color="auto"/>
        <w:left w:val="none" w:sz="0" w:space="0" w:color="auto"/>
        <w:bottom w:val="none" w:sz="0" w:space="0" w:color="auto"/>
        <w:right w:val="none" w:sz="0" w:space="0" w:color="auto"/>
      </w:divBdr>
    </w:div>
    <w:div w:id="1407268699">
      <w:bodyDiv w:val="1"/>
      <w:marLeft w:val="0"/>
      <w:marRight w:val="0"/>
      <w:marTop w:val="0"/>
      <w:marBottom w:val="0"/>
      <w:divBdr>
        <w:top w:val="none" w:sz="0" w:space="0" w:color="auto"/>
        <w:left w:val="none" w:sz="0" w:space="0" w:color="auto"/>
        <w:bottom w:val="none" w:sz="0" w:space="0" w:color="auto"/>
        <w:right w:val="none" w:sz="0" w:space="0" w:color="auto"/>
      </w:divBdr>
    </w:div>
    <w:div w:id="1433940983">
      <w:bodyDiv w:val="1"/>
      <w:marLeft w:val="0"/>
      <w:marRight w:val="0"/>
      <w:marTop w:val="0"/>
      <w:marBottom w:val="0"/>
      <w:divBdr>
        <w:top w:val="none" w:sz="0" w:space="0" w:color="auto"/>
        <w:left w:val="none" w:sz="0" w:space="0" w:color="auto"/>
        <w:bottom w:val="none" w:sz="0" w:space="0" w:color="auto"/>
        <w:right w:val="none" w:sz="0" w:space="0" w:color="auto"/>
      </w:divBdr>
    </w:div>
    <w:div w:id="1461992810">
      <w:bodyDiv w:val="1"/>
      <w:marLeft w:val="0"/>
      <w:marRight w:val="0"/>
      <w:marTop w:val="0"/>
      <w:marBottom w:val="0"/>
      <w:divBdr>
        <w:top w:val="none" w:sz="0" w:space="0" w:color="auto"/>
        <w:left w:val="none" w:sz="0" w:space="0" w:color="auto"/>
        <w:bottom w:val="none" w:sz="0" w:space="0" w:color="auto"/>
        <w:right w:val="none" w:sz="0" w:space="0" w:color="auto"/>
      </w:divBdr>
    </w:div>
    <w:div w:id="1486047428">
      <w:bodyDiv w:val="1"/>
      <w:marLeft w:val="0"/>
      <w:marRight w:val="0"/>
      <w:marTop w:val="0"/>
      <w:marBottom w:val="0"/>
      <w:divBdr>
        <w:top w:val="none" w:sz="0" w:space="0" w:color="auto"/>
        <w:left w:val="none" w:sz="0" w:space="0" w:color="auto"/>
        <w:bottom w:val="none" w:sz="0" w:space="0" w:color="auto"/>
        <w:right w:val="none" w:sz="0" w:space="0" w:color="auto"/>
      </w:divBdr>
    </w:div>
    <w:div w:id="1623924088">
      <w:bodyDiv w:val="1"/>
      <w:marLeft w:val="0"/>
      <w:marRight w:val="0"/>
      <w:marTop w:val="0"/>
      <w:marBottom w:val="0"/>
      <w:divBdr>
        <w:top w:val="none" w:sz="0" w:space="0" w:color="auto"/>
        <w:left w:val="none" w:sz="0" w:space="0" w:color="auto"/>
        <w:bottom w:val="none" w:sz="0" w:space="0" w:color="auto"/>
        <w:right w:val="none" w:sz="0" w:space="0" w:color="auto"/>
      </w:divBdr>
    </w:div>
    <w:div w:id="1671904416">
      <w:bodyDiv w:val="1"/>
      <w:marLeft w:val="0"/>
      <w:marRight w:val="0"/>
      <w:marTop w:val="0"/>
      <w:marBottom w:val="0"/>
      <w:divBdr>
        <w:top w:val="none" w:sz="0" w:space="0" w:color="auto"/>
        <w:left w:val="none" w:sz="0" w:space="0" w:color="auto"/>
        <w:bottom w:val="none" w:sz="0" w:space="0" w:color="auto"/>
        <w:right w:val="none" w:sz="0" w:space="0" w:color="auto"/>
      </w:divBdr>
    </w:div>
    <w:div w:id="1775783582">
      <w:bodyDiv w:val="1"/>
      <w:marLeft w:val="0"/>
      <w:marRight w:val="0"/>
      <w:marTop w:val="0"/>
      <w:marBottom w:val="0"/>
      <w:divBdr>
        <w:top w:val="none" w:sz="0" w:space="0" w:color="auto"/>
        <w:left w:val="none" w:sz="0" w:space="0" w:color="auto"/>
        <w:bottom w:val="none" w:sz="0" w:space="0" w:color="auto"/>
        <w:right w:val="none" w:sz="0" w:space="0" w:color="auto"/>
      </w:divBdr>
    </w:div>
    <w:div w:id="2003921832">
      <w:bodyDiv w:val="1"/>
      <w:marLeft w:val="0"/>
      <w:marRight w:val="0"/>
      <w:marTop w:val="0"/>
      <w:marBottom w:val="0"/>
      <w:divBdr>
        <w:top w:val="none" w:sz="0" w:space="0" w:color="auto"/>
        <w:left w:val="none" w:sz="0" w:space="0" w:color="auto"/>
        <w:bottom w:val="none" w:sz="0" w:space="0" w:color="auto"/>
        <w:right w:val="none" w:sz="0" w:space="0" w:color="auto"/>
      </w:divBdr>
    </w:div>
    <w:div w:id="2053995277">
      <w:bodyDiv w:val="1"/>
      <w:marLeft w:val="0"/>
      <w:marRight w:val="0"/>
      <w:marTop w:val="0"/>
      <w:marBottom w:val="0"/>
      <w:divBdr>
        <w:top w:val="none" w:sz="0" w:space="0" w:color="auto"/>
        <w:left w:val="none" w:sz="0" w:space="0" w:color="auto"/>
        <w:bottom w:val="none" w:sz="0" w:space="0" w:color="auto"/>
        <w:right w:val="none" w:sz="0" w:space="0" w:color="auto"/>
      </w:divBdr>
    </w:div>
    <w:div w:id="2094163719">
      <w:bodyDiv w:val="1"/>
      <w:marLeft w:val="0"/>
      <w:marRight w:val="0"/>
      <w:marTop w:val="0"/>
      <w:marBottom w:val="0"/>
      <w:divBdr>
        <w:top w:val="none" w:sz="0" w:space="0" w:color="auto"/>
        <w:left w:val="none" w:sz="0" w:space="0" w:color="auto"/>
        <w:bottom w:val="none" w:sz="0" w:space="0" w:color="auto"/>
        <w:right w:val="none" w:sz="0" w:space="0" w:color="auto"/>
      </w:divBdr>
      <w:divsChild>
        <w:div w:id="1221474500">
          <w:marLeft w:val="547"/>
          <w:marRight w:val="0"/>
          <w:marTop w:val="134"/>
          <w:marBottom w:val="0"/>
          <w:divBdr>
            <w:top w:val="none" w:sz="0" w:space="0" w:color="auto"/>
            <w:left w:val="none" w:sz="0" w:space="0" w:color="auto"/>
            <w:bottom w:val="none" w:sz="0" w:space="0" w:color="auto"/>
            <w:right w:val="none" w:sz="0" w:space="0" w:color="auto"/>
          </w:divBdr>
        </w:div>
        <w:div w:id="1920481124">
          <w:marLeft w:val="547"/>
          <w:marRight w:val="0"/>
          <w:marTop w:val="134"/>
          <w:marBottom w:val="0"/>
          <w:divBdr>
            <w:top w:val="none" w:sz="0" w:space="0" w:color="auto"/>
            <w:left w:val="none" w:sz="0" w:space="0" w:color="auto"/>
            <w:bottom w:val="none" w:sz="0" w:space="0" w:color="auto"/>
            <w:right w:val="none" w:sz="0" w:space="0" w:color="auto"/>
          </w:divBdr>
        </w:div>
        <w:div w:id="89089461">
          <w:marLeft w:val="547"/>
          <w:marRight w:val="0"/>
          <w:marTop w:val="134"/>
          <w:marBottom w:val="0"/>
          <w:divBdr>
            <w:top w:val="none" w:sz="0" w:space="0" w:color="auto"/>
            <w:left w:val="none" w:sz="0" w:space="0" w:color="auto"/>
            <w:bottom w:val="none" w:sz="0" w:space="0" w:color="auto"/>
            <w:right w:val="none" w:sz="0" w:space="0" w:color="auto"/>
          </w:divBdr>
        </w:div>
        <w:div w:id="828713530">
          <w:marLeft w:val="547"/>
          <w:marRight w:val="0"/>
          <w:marTop w:val="134"/>
          <w:marBottom w:val="0"/>
          <w:divBdr>
            <w:top w:val="none" w:sz="0" w:space="0" w:color="auto"/>
            <w:left w:val="none" w:sz="0" w:space="0" w:color="auto"/>
            <w:bottom w:val="none" w:sz="0" w:space="0" w:color="auto"/>
            <w:right w:val="none" w:sz="0" w:space="0" w:color="auto"/>
          </w:divBdr>
        </w:div>
      </w:divsChild>
    </w:div>
    <w:div w:id="2114785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WHSSC.GeneralEnquiries@wales.nhs.uk"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s://www.ons.gov.uk/census/aboutcensus/releaseplans" TargetMode="External"/><Relationship Id="rId3" Type="http://schemas.openxmlformats.org/officeDocument/2006/relationships/hyperlink" Target="https://www.bcig.org.uk/sig-quality-standards/" TargetMode="External"/><Relationship Id="rId7" Type="http://schemas.openxmlformats.org/officeDocument/2006/relationships/hyperlink" Target="https://www.nhsbsa.nhs.uk/nhs-low-income-scheme/hc3-certificates-limited-help-health-costs" TargetMode="External"/><Relationship Id="rId2" Type="http://schemas.openxmlformats.org/officeDocument/2006/relationships/hyperlink" Target="https://rnid.org.uk/wp-content/uploads/2020/05/Hearing-Matters-report-_-Wales-Supplement.pdf" TargetMode="External"/><Relationship Id="rId1" Type="http://schemas.openxmlformats.org/officeDocument/2006/relationships/hyperlink" Target="https://libguides.southwales.ac.uk/c.php?g=669129&amp;p=4748827" TargetMode="External"/><Relationship Id="rId6" Type="http://schemas.openxmlformats.org/officeDocument/2006/relationships/hyperlink" Target="https://www.nhsbsa.nhs.uk/nhs-low-income-scheme/hc2-certificates-full-help-health-costs" TargetMode="External"/><Relationship Id="rId11" Type="http://schemas.openxmlformats.org/officeDocument/2006/relationships/hyperlink" Target="https://www.nice.org.uk/guidance/ta566" TargetMode="External"/><Relationship Id="rId5" Type="http://schemas.openxmlformats.org/officeDocument/2006/relationships/hyperlink" Target="https://whssc.nhs.wales/commissioning/whssc-policies/all-policy-documents/cochlear-implant-for-children-and-adults-with-severe-to-profound-deafness-cp35/" TargetMode="External"/><Relationship Id="rId10" Type="http://schemas.openxmlformats.org/officeDocument/2006/relationships/hyperlink" Target="https://assets.publishing.service.gov.uk/government/uploads/system/uploads/attachment_data/file/514912/road-use-statistics.pdf" TargetMode="External"/><Relationship Id="rId4" Type="http://schemas.openxmlformats.org/officeDocument/2006/relationships/hyperlink" Target="https://www.england.nhs.uk/commissioning/wp-content/uploads/sites/12/2013/05/16041_FINAL.pdf" TargetMode="External"/><Relationship Id="rId9" Type="http://schemas.openxmlformats.org/officeDocument/2006/relationships/hyperlink" Target="https://www.nice.org.uk/guidance/ta566/chapter/2-Clinical-need-and-pract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A34047-F336-45FE-BF8F-D389CBCBF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4691</Words>
  <Characters>26740</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Rhian Meredith-Spurr (CTM UHB - Welsh Health Specialised Services Committee)</dc:creator>
  <cp:keywords/>
  <dc:description/>
  <cp:lastModifiedBy>Liz Kenward (CTM UHB - Welsh Health Specialised Services Committee)</cp:lastModifiedBy>
  <cp:revision>5</cp:revision>
  <dcterms:created xsi:type="dcterms:W3CDTF">2022-11-16T14:16:00Z</dcterms:created>
  <dcterms:modified xsi:type="dcterms:W3CDTF">2022-12-08T12:41:00Z</dcterms:modified>
</cp:coreProperties>
</file>