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073878" w14:textId="2869ED2F"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331A62">
        <w:rPr>
          <w:b/>
          <w:sz w:val="24"/>
        </w:rPr>
        <w:t xml:space="preserve">Information </w:t>
      </w:r>
      <w:r w:rsidR="00575CA5" w:rsidRPr="00FD5227">
        <w:rPr>
          <w:b/>
          <w:sz w:val="24"/>
        </w:rPr>
        <w:t>September</w:t>
      </w:r>
      <w:r w:rsidR="006F3953" w:rsidRPr="00FD5227">
        <w:rPr>
          <w:b/>
          <w:sz w:val="24"/>
        </w:rPr>
        <w:t xml:space="preserve"> 2023</w:t>
      </w:r>
    </w:p>
    <w:p w14:paraId="7D0E299C" w14:textId="77777777" w:rsidR="00C0239C" w:rsidRPr="00041680" w:rsidRDefault="00C0239C" w:rsidP="00111565">
      <w:pPr>
        <w:spacing w:line="240" w:lineRule="auto"/>
        <w:jc w:val="both"/>
      </w:pPr>
      <w:r w:rsidRPr="00041680">
        <w:t>This publication provides detail of Mortality rates and other related population indicators</w:t>
      </w:r>
      <w:r w:rsidR="001D22BC" w:rsidRPr="00041680">
        <w:t xml:space="preserve"> for </w:t>
      </w:r>
      <w:r w:rsidR="00324EA8" w:rsidRPr="00041680">
        <w:t>SBU</w:t>
      </w:r>
      <w:r w:rsidR="001D22BC" w:rsidRPr="00041680">
        <w:t xml:space="preserve"> Health Board.</w:t>
      </w:r>
      <w:r w:rsidR="008F2614" w:rsidRPr="00041680">
        <w:t xml:space="preserve"> </w:t>
      </w:r>
      <w:r w:rsidR="00386821" w:rsidRPr="00041680">
        <w:t xml:space="preserve">The </w:t>
      </w:r>
      <w:proofErr w:type="gramStart"/>
      <w:r w:rsidR="00386821" w:rsidRPr="00041680">
        <w:t>short term</w:t>
      </w:r>
      <w:proofErr w:type="gramEnd"/>
      <w:r w:rsidR="00386821" w:rsidRPr="00041680">
        <w:t xml:space="preserve"> increased mortality seen in early 2020 is likely to be due to the impact of infection with COVID-19, however it is too early to determine the cause of these changes.</w:t>
      </w:r>
    </w:p>
    <w:p w14:paraId="235F4A99" w14:textId="77777777" w:rsidR="008F2614" w:rsidRPr="00041680" w:rsidRDefault="00FA0ADE" w:rsidP="008F2614">
      <w:pPr>
        <w:spacing w:line="240" w:lineRule="auto"/>
        <w:jc w:val="both"/>
      </w:pPr>
      <w:r w:rsidRPr="00041680">
        <w:t>Please note that from 1</w:t>
      </w:r>
      <w:r w:rsidRPr="00041680">
        <w:rPr>
          <w:vertAlign w:val="superscript"/>
        </w:rPr>
        <w:t>st</w:t>
      </w:r>
      <w:r w:rsidRPr="00041680">
        <w:t xml:space="preserve"> </w:t>
      </w:r>
      <w:r w:rsidR="008F2614" w:rsidRPr="00041680">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rsidRPr="00041680">
        <w:t>Data in this publication contains historical information prior to 1</w:t>
      </w:r>
      <w:r w:rsidR="00A700E3" w:rsidRPr="00041680">
        <w:rPr>
          <w:vertAlign w:val="superscript"/>
        </w:rPr>
        <w:t>st</w:t>
      </w:r>
      <w:r w:rsidR="00A700E3" w:rsidRPr="00041680">
        <w:t xml:space="preserve"> April 2019 and as a result will relate to</w:t>
      </w:r>
      <w:r w:rsidR="008F2614" w:rsidRPr="00041680">
        <w:t xml:space="preserve"> ABMU Health </w:t>
      </w:r>
      <w:proofErr w:type="gramStart"/>
      <w:r w:rsidR="008F2614" w:rsidRPr="00041680">
        <w:t>Board which</w:t>
      </w:r>
      <w:proofErr w:type="gramEnd"/>
      <w:r w:rsidR="008F2614" w:rsidRPr="00041680">
        <w:t xml:space="preserve"> will include Bridgend.  </w:t>
      </w:r>
    </w:p>
    <w:p w14:paraId="19BD8C0D" w14:textId="77777777" w:rsidR="00C55DD7" w:rsidRPr="00041680" w:rsidRDefault="003361DD" w:rsidP="00111565">
      <w:pPr>
        <w:spacing w:line="240" w:lineRule="auto"/>
        <w:jc w:val="both"/>
        <w:rPr>
          <w:b/>
        </w:rPr>
      </w:pPr>
      <w:r w:rsidRPr="00041680">
        <w:rPr>
          <w:b/>
        </w:rPr>
        <w:t>Life Expectancy at birth</w:t>
      </w:r>
    </w:p>
    <w:p w14:paraId="17B2989B" w14:textId="77777777" w:rsidR="00845A4D" w:rsidRPr="00041680" w:rsidRDefault="001A059B" w:rsidP="00111565">
      <w:pPr>
        <w:spacing w:line="240" w:lineRule="auto"/>
        <w:jc w:val="both"/>
        <w:rPr>
          <w:b/>
        </w:rPr>
      </w:pPr>
      <w:r w:rsidRPr="00041680">
        <w:t xml:space="preserve">In common with England and Wales, life expectancy at birth across the </w:t>
      </w:r>
      <w:r w:rsidR="00E0683F" w:rsidRPr="00041680">
        <w:t>SBU</w:t>
      </w:r>
      <w:r w:rsidRPr="00041680">
        <w:t xml:space="preserve"> HB area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 xml:space="preserve">ur lifestyles </w:t>
      </w:r>
      <w:proofErr w:type="gramStart"/>
      <w:r w:rsidR="00845A4D" w:rsidRPr="00041680">
        <w:t>are strongly influenced</w:t>
      </w:r>
      <w:proofErr w:type="gramEnd"/>
      <w:r w:rsidR="00845A4D" w:rsidRPr="00041680">
        <w:t xml:space="preserve">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p>
    <w:p w14:paraId="39952988" w14:textId="77777777"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males and female</w:t>
      </w:r>
      <w:r w:rsidR="00B907C2" w:rsidRPr="00041680">
        <w:rPr>
          <w:rFonts w:ascii="Calibri" w:hAnsi="Calibri" w:cs="Times New Roman"/>
          <w:color w:val="auto"/>
          <w:sz w:val="22"/>
          <w:szCs w:val="22"/>
          <w:lang w:eastAsia="en-US"/>
        </w:rPr>
        <w:t>s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14:paraId="2A671B3A" w14:textId="77777777" w:rsidR="00806662" w:rsidRDefault="009714D2" w:rsidP="00147FCD">
      <w:pPr>
        <w:jc w:val="both"/>
        <w:rPr>
          <w:b/>
        </w:rPr>
      </w:pPr>
      <w:r>
        <w:rPr>
          <w:b/>
          <w:noProof/>
          <w:lang w:eastAsia="en-GB"/>
        </w:rPr>
        <w:drawing>
          <wp:inline distT="0" distB="0" distL="0" distR="0" wp14:anchorId="7899F02F" wp14:editId="44A04684">
            <wp:extent cx="5772150" cy="2633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72150" cy="2633980"/>
                    </a:xfrm>
                    <a:prstGeom prst="rect">
                      <a:avLst/>
                    </a:prstGeom>
                    <a:noFill/>
                  </pic:spPr>
                </pic:pic>
              </a:graphicData>
            </a:graphic>
          </wp:inline>
        </w:drawing>
      </w:r>
    </w:p>
    <w:p w14:paraId="508C4B39" w14:textId="77777777" w:rsidR="00B471C1" w:rsidRDefault="00B471C1">
      <w:pPr>
        <w:spacing w:after="0" w:line="240" w:lineRule="auto"/>
        <w:rPr>
          <w:b/>
        </w:rPr>
      </w:pPr>
      <w:r>
        <w:rPr>
          <w:b/>
        </w:rPr>
        <w:br w:type="page"/>
      </w:r>
    </w:p>
    <w:p w14:paraId="312EAAAA" w14:textId="77777777" w:rsidR="003361DD" w:rsidRPr="0099314C" w:rsidRDefault="001A059B" w:rsidP="00111565">
      <w:pPr>
        <w:spacing w:line="240" w:lineRule="auto"/>
        <w:jc w:val="both"/>
        <w:rPr>
          <w:b/>
        </w:rPr>
      </w:pPr>
      <w:r w:rsidRPr="00B26521">
        <w:rPr>
          <w:b/>
        </w:rPr>
        <w:lastRenderedPageBreak/>
        <w:t>Age Standardised Mortality Rates</w:t>
      </w:r>
    </w:p>
    <w:p w14:paraId="6656173E" w14:textId="77777777"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14:paraId="0FC69D69" w14:textId="77777777" w:rsidR="00204740" w:rsidRDefault="00C87E48" w:rsidP="00147FCD">
      <w:pPr>
        <w:spacing w:line="240" w:lineRule="auto"/>
        <w:jc w:val="both"/>
      </w:pPr>
      <w:r>
        <w:rPr>
          <w:noProof/>
          <w:lang w:eastAsia="en-GB"/>
        </w:rPr>
        <w:drawing>
          <wp:inline distT="0" distB="0" distL="0" distR="0" wp14:anchorId="53BE1124" wp14:editId="3DA46E17">
            <wp:extent cx="5593715" cy="2514568"/>
            <wp:effectExtent l="0" t="0" r="6985"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6037" cy="2520107"/>
                    </a:xfrm>
                    <a:prstGeom prst="rect">
                      <a:avLst/>
                    </a:prstGeom>
                    <a:noFill/>
                  </pic:spPr>
                </pic:pic>
              </a:graphicData>
            </a:graphic>
          </wp:inline>
        </w:drawing>
      </w:r>
    </w:p>
    <w:p w14:paraId="51919099" w14:textId="77777777" w:rsidR="00EE0CBD" w:rsidRPr="00991739" w:rsidRDefault="00991739" w:rsidP="00111565">
      <w:pPr>
        <w:spacing w:line="240" w:lineRule="auto"/>
        <w:jc w:val="both"/>
        <w:rPr>
          <w:b/>
        </w:rPr>
      </w:pPr>
      <w:r w:rsidRPr="00991739">
        <w:t>The above</w:t>
      </w:r>
      <w:r w:rsidR="00105E85">
        <w:t xml:space="preserve"> rate</w:t>
      </w:r>
      <w:r w:rsidRPr="00991739">
        <w:t xml:space="preserve"> </w:t>
      </w:r>
      <w:proofErr w:type="gramStart"/>
      <w:r w:rsidRPr="00991739">
        <w:t>ha</w:t>
      </w:r>
      <w:r w:rsidR="00105E85">
        <w:t>s</w:t>
      </w:r>
      <w:r w:rsidRPr="00991739">
        <w:t xml:space="preserve"> now been calculated</w:t>
      </w:r>
      <w:proofErr w:type="gramEnd"/>
      <w:r w:rsidRPr="00991739">
        <w:t xml:space="preserve">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14:paraId="5865140C" w14:textId="77777777"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w:t>
      </w:r>
      <w:proofErr w:type="gramStart"/>
      <w:r w:rsidR="006D50A4">
        <w:t>are expressed</w:t>
      </w:r>
      <w:proofErr w:type="gramEnd"/>
      <w:r w:rsidR="006D50A4">
        <w:t xml:space="preserve"> per 100,</w:t>
      </w:r>
      <w:r w:rsidR="000642FF">
        <w:t>0</w:t>
      </w:r>
      <w:r w:rsidR="006D50A4">
        <w:t>00 population.</w:t>
      </w:r>
    </w:p>
    <w:p w14:paraId="38BF01BA" w14:textId="77777777"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14:paraId="12B20F98" w14:textId="77777777"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14:paraId="540CF796" w14:textId="77777777" w:rsidR="008B7937" w:rsidRDefault="00470AC6" w:rsidP="00F10E34">
      <w:pPr>
        <w:spacing w:line="240" w:lineRule="auto"/>
        <w:jc w:val="center"/>
      </w:pPr>
      <w:r>
        <w:rPr>
          <w:noProof/>
          <w:lang w:eastAsia="en-GB"/>
        </w:rPr>
        <w:drawing>
          <wp:inline distT="0" distB="0" distL="0" distR="0" wp14:anchorId="6820444A" wp14:editId="38E8C637">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14:paraId="10830645" w14:textId="77777777" w:rsidR="00C55DD7" w:rsidRDefault="00522B79" w:rsidP="00914808">
      <w:pPr>
        <w:spacing w:line="240" w:lineRule="auto"/>
        <w:jc w:val="both"/>
        <w:rPr>
          <w:b/>
        </w:rPr>
      </w:pPr>
      <w:r>
        <w:t xml:space="preserve">Deprivation is measured in </w:t>
      </w:r>
      <w:proofErr w:type="gramStart"/>
      <w:r>
        <w:t>5</w:t>
      </w:r>
      <w:proofErr w:type="gramEnd"/>
      <w:r>
        <w:t xml:space="preserve"> parts ranging from the least to the most deprived</w:t>
      </w:r>
      <w:r w:rsidR="00EA2548">
        <w:t>.</w:t>
      </w:r>
      <w:r w:rsidR="00C55DD7">
        <w:rPr>
          <w:b/>
        </w:rPr>
        <w:br w:type="page"/>
      </w:r>
    </w:p>
    <w:p w14:paraId="0D943134" w14:textId="77777777" w:rsidR="001A059B" w:rsidRPr="00041680" w:rsidRDefault="00683541" w:rsidP="00111565">
      <w:pPr>
        <w:spacing w:line="240" w:lineRule="auto"/>
        <w:jc w:val="both"/>
        <w:rPr>
          <w:b/>
        </w:rPr>
      </w:pPr>
      <w:r w:rsidRPr="00041680">
        <w:rPr>
          <w:b/>
        </w:rPr>
        <w:lastRenderedPageBreak/>
        <w:t>Perinatal Mortality</w:t>
      </w:r>
    </w:p>
    <w:p w14:paraId="09304AD8" w14:textId="77777777" w:rsidR="006700DF" w:rsidRPr="00041680" w:rsidRDefault="00FD4FCC" w:rsidP="00111565">
      <w:pPr>
        <w:spacing w:line="240" w:lineRule="auto"/>
        <w:jc w:val="both"/>
      </w:pPr>
      <w:r w:rsidRPr="00041680">
        <w:t>Swansea Bay</w:t>
      </w:r>
      <w:r w:rsidR="00647BEC" w:rsidRPr="00041680">
        <w:t xml:space="preserve">’s </w:t>
      </w:r>
      <w:r w:rsidR="00D17AA2" w:rsidRPr="00041680">
        <w:t>perinatal</w:t>
      </w:r>
      <w:r w:rsidR="006700DF" w:rsidRPr="00041680">
        <w:t xml:space="preserve"> mortality rate</w:t>
      </w:r>
      <w:r w:rsidR="002135BC" w:rsidRPr="00041680">
        <w:t xml:space="preserve"> </w:t>
      </w:r>
      <w:r w:rsidR="00522B79" w:rsidRPr="00041680">
        <w:t xml:space="preserve">(stillbirths and deaths within first 7 days of life as a rate per 1,000 live and stillbirths) </w:t>
      </w:r>
      <w:r w:rsidR="00936821" w:rsidRPr="00041680">
        <w:t xml:space="preserve">is </w:t>
      </w:r>
      <w:r w:rsidR="009714D2" w:rsidRPr="00041680">
        <w:t>9.4</w:t>
      </w:r>
      <w:r w:rsidR="00522B79" w:rsidRPr="00041680">
        <w:t>,</w:t>
      </w:r>
      <w:r w:rsidR="00772B62" w:rsidRPr="00041680">
        <w:t xml:space="preserve"> </w:t>
      </w:r>
      <w:r w:rsidR="006700DF" w:rsidRPr="00041680">
        <w:t xml:space="preserve">the All Wales </w:t>
      </w:r>
      <w:r w:rsidR="00C87BF3" w:rsidRPr="00041680">
        <w:t>a</w:t>
      </w:r>
      <w:r w:rsidR="00936821" w:rsidRPr="00041680">
        <w:t xml:space="preserve">verage </w:t>
      </w:r>
      <w:r w:rsidR="00E2505F" w:rsidRPr="00041680">
        <w:t>is</w:t>
      </w:r>
      <w:r w:rsidR="002135BC" w:rsidRPr="00041680">
        <w:t xml:space="preserve"> </w:t>
      </w:r>
      <w:r w:rsidR="009714D2" w:rsidRPr="00041680">
        <w:t>6.6</w:t>
      </w:r>
      <w:r w:rsidR="006700DF" w:rsidRPr="00041680">
        <w:t>.</w:t>
      </w:r>
      <w:r w:rsidR="005F38CD" w:rsidRPr="00041680">
        <w:t xml:space="preserve">  </w:t>
      </w:r>
    </w:p>
    <w:p w14:paraId="1CB407BA" w14:textId="77777777" w:rsidR="00A22934" w:rsidRPr="00041680" w:rsidRDefault="00A22934" w:rsidP="00111565">
      <w:pPr>
        <w:spacing w:line="240" w:lineRule="auto"/>
        <w:jc w:val="both"/>
        <w:rPr>
          <w:b/>
          <w:color w:val="000000"/>
          <w:sz w:val="23"/>
          <w:szCs w:val="23"/>
        </w:rPr>
      </w:pPr>
      <w:r w:rsidRPr="00041680">
        <w:rPr>
          <w:b/>
          <w:color w:val="000000"/>
          <w:sz w:val="23"/>
          <w:szCs w:val="23"/>
        </w:rPr>
        <w:t>Excess Winter Deaths</w:t>
      </w:r>
    </w:p>
    <w:p w14:paraId="41993A72" w14:textId="77777777" w:rsidR="003D33C1" w:rsidRPr="00041680" w:rsidRDefault="00562BA2" w:rsidP="00111565">
      <w:pPr>
        <w:spacing w:line="240" w:lineRule="auto"/>
        <w:jc w:val="both"/>
        <w:rPr>
          <w:color w:val="000000"/>
        </w:rPr>
      </w:pPr>
      <w:r w:rsidRPr="00041680">
        <w:rPr>
          <w:color w:val="000000"/>
        </w:rPr>
        <w:t xml:space="preserve">In common with England and the rest of Wales </w:t>
      </w:r>
      <w:r w:rsidR="002C5C2C" w:rsidRPr="00041680">
        <w:rPr>
          <w:color w:val="000000"/>
        </w:rPr>
        <w:t>SB UHB</w:t>
      </w:r>
      <w:r w:rsidRPr="00041680">
        <w:rPr>
          <w:color w:val="000000"/>
        </w:rPr>
        <w:t xml:space="preserve"> has more deaths in the </w:t>
      </w:r>
      <w:r w:rsidR="00505244" w:rsidRPr="00041680">
        <w:rPr>
          <w:color w:val="000000"/>
        </w:rPr>
        <w:t>wintertime</w:t>
      </w:r>
      <w:r w:rsidR="005E3AD9" w:rsidRPr="00041680">
        <w:rPr>
          <w:color w:val="000000"/>
        </w:rPr>
        <w:t xml:space="preserve"> period</w:t>
      </w:r>
      <w:r w:rsidRPr="00041680">
        <w:rPr>
          <w:color w:val="000000"/>
        </w:rPr>
        <w:t>.</w:t>
      </w:r>
      <w:r w:rsidR="00F874FF" w:rsidRPr="00041680">
        <w:rPr>
          <w:color w:val="000000"/>
        </w:rPr>
        <w:t xml:space="preserve"> </w:t>
      </w:r>
      <w:r w:rsidR="003E4507" w:rsidRPr="00041680">
        <w:rPr>
          <w:color w:val="000000"/>
        </w:rPr>
        <w:t>Whilst some of the excess deaths during a winter period may be due to extreme weather conditions, often it is conditions susceptible to cold temperatures like stroke, heart attack, pneumonia and influenza</w:t>
      </w:r>
      <w:r w:rsidR="008E4E16" w:rsidRPr="00041680">
        <w:rPr>
          <w:color w:val="000000"/>
        </w:rPr>
        <w:t>,</w:t>
      </w:r>
      <w:r w:rsidR="003E4507" w:rsidRPr="00041680">
        <w:rPr>
          <w:color w:val="000000"/>
        </w:rPr>
        <w:t xml:space="preserve"> which are the main causes. This is why it is important that we keep ourselves warm during the colder months and try to protect our most vulnerable citizens, ensuring they </w:t>
      </w:r>
      <w:proofErr w:type="gramStart"/>
      <w:r w:rsidR="003E4507" w:rsidRPr="00041680">
        <w:rPr>
          <w:color w:val="000000"/>
        </w:rPr>
        <w:t>are vaccinated</w:t>
      </w:r>
      <w:proofErr w:type="gramEnd"/>
      <w:r w:rsidR="003E4507" w:rsidRPr="00041680">
        <w:rPr>
          <w:color w:val="000000"/>
        </w:rPr>
        <w:t xml:space="preserve"> against that winter’s strain of influenza.</w:t>
      </w:r>
      <w:r w:rsidR="004724D9" w:rsidRPr="00041680">
        <w:rPr>
          <w:color w:val="000000"/>
        </w:rPr>
        <w:t xml:space="preserve"> </w:t>
      </w:r>
    </w:p>
    <w:p w14:paraId="2E63F305" w14:textId="77777777" w:rsidR="00C77049" w:rsidRDefault="004724D9" w:rsidP="00111565">
      <w:pPr>
        <w:spacing w:line="240" w:lineRule="auto"/>
        <w:jc w:val="both"/>
        <w:rPr>
          <w:lang w:val="en"/>
        </w:rPr>
      </w:pPr>
      <w:r w:rsidRPr="00B44FA7">
        <w:t xml:space="preserve">In the winter </w:t>
      </w:r>
      <w:r w:rsidRPr="00B26521">
        <w:t xml:space="preserve">period of </w:t>
      </w:r>
      <w:r w:rsidR="006F3953" w:rsidRPr="00B26521">
        <w:t>2020/21</w:t>
      </w:r>
      <w:r w:rsidR="00925F67" w:rsidRPr="00B26521">
        <w:t xml:space="preserve"> </w:t>
      </w:r>
      <w:r w:rsidR="004236B3" w:rsidRPr="00B26521">
        <w:t>the num</w:t>
      </w:r>
      <w:r w:rsidR="00505244" w:rsidRPr="00B26521">
        <w:t>ber of excess winter deaths</w:t>
      </w:r>
      <w:r w:rsidR="00144B57" w:rsidRPr="00B26521">
        <w:t xml:space="preserve"> w</w:t>
      </w:r>
      <w:r w:rsidR="000364CB" w:rsidRPr="00B26521">
        <w:t>as</w:t>
      </w:r>
      <w:r w:rsidR="00FD3953" w:rsidRPr="00B26521">
        <w:t xml:space="preserve"> </w:t>
      </w:r>
      <w:r w:rsidR="009714D2" w:rsidRPr="00B26521">
        <w:t>higher</w:t>
      </w:r>
      <w:r w:rsidR="006F3953" w:rsidRPr="00B26521">
        <w:t xml:space="preserve"> than 2019</w:t>
      </w:r>
      <w:r w:rsidR="009714D2" w:rsidRPr="00B26521">
        <w:t>/</w:t>
      </w:r>
      <w:r w:rsidR="006F3953" w:rsidRPr="00B26521">
        <w:t>20</w:t>
      </w:r>
      <w:r w:rsidR="00925F67" w:rsidRPr="00B26521">
        <w:t xml:space="preserve">. </w:t>
      </w:r>
      <w:r w:rsidR="00FD3953" w:rsidRPr="00B26521">
        <w:t xml:space="preserve"> </w:t>
      </w:r>
      <w:proofErr w:type="gramStart"/>
      <w:r w:rsidR="00925F67" w:rsidRPr="00B26521">
        <w:t>The</w:t>
      </w:r>
      <w:r w:rsidR="00925F67" w:rsidRPr="00B44FA7">
        <w:t xml:space="preserve">  </w:t>
      </w:r>
      <w:r w:rsidR="00505244" w:rsidRPr="00B44FA7">
        <w:t>average</w:t>
      </w:r>
      <w:proofErr w:type="gramEnd"/>
      <w:r w:rsidR="00505244" w:rsidRPr="00B44FA7">
        <w:t xml:space="preserve"> temperature for the period</w:t>
      </w:r>
      <w:r w:rsidR="00925F67" w:rsidRPr="00B44FA7">
        <w:t xml:space="preserve"> was </w:t>
      </w:r>
      <w:r w:rsidR="00FD1464" w:rsidRPr="00B44FA7">
        <w:t>low</w:t>
      </w:r>
      <w:r w:rsidR="00AE0A3B" w:rsidRPr="00B44FA7">
        <w:t>er than the previous 2</w:t>
      </w:r>
      <w:r w:rsidR="00FD1464" w:rsidRPr="00B44FA7">
        <w:t xml:space="preserve"> years</w:t>
      </w:r>
      <w:r w:rsidR="00B44FA7" w:rsidRPr="00B44FA7">
        <w:t>.</w:t>
      </w:r>
      <w:r w:rsidR="00FD1464">
        <w:t xml:space="preserve"> </w:t>
      </w:r>
    </w:p>
    <w:tbl>
      <w:tblPr>
        <w:tblW w:w="8954" w:type="dxa"/>
        <w:tblLook w:val="04A0" w:firstRow="1" w:lastRow="0" w:firstColumn="1" w:lastColumn="0" w:noHBand="0" w:noVBand="1"/>
      </w:tblPr>
      <w:tblGrid>
        <w:gridCol w:w="1279"/>
        <w:gridCol w:w="596"/>
        <w:gridCol w:w="596"/>
        <w:gridCol w:w="595"/>
        <w:gridCol w:w="595"/>
        <w:gridCol w:w="595"/>
        <w:gridCol w:w="595"/>
        <w:gridCol w:w="595"/>
        <w:gridCol w:w="595"/>
        <w:gridCol w:w="595"/>
        <w:gridCol w:w="595"/>
        <w:gridCol w:w="595"/>
        <w:gridCol w:w="595"/>
        <w:gridCol w:w="595"/>
      </w:tblGrid>
      <w:tr w:rsidR="00FD1464" w:rsidRPr="00FD1464" w14:paraId="785CC0E8" w14:textId="77777777" w:rsidTr="00FD1464">
        <w:trPr>
          <w:trHeight w:val="602"/>
        </w:trPr>
        <w:tc>
          <w:tcPr>
            <w:tcW w:w="150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Area Name</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7382EE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2008-09</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010B835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2009-10</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1BAA3C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2010-11</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2AF1B3"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2011-12</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A87398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2012-13</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B6DBF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2013-14</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220759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2014-15</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24C98F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2015-16</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F953DE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2016-17</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B73CE2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2017-18</w:t>
            </w:r>
          </w:p>
        </w:tc>
        <w:tc>
          <w:tcPr>
            <w:tcW w:w="573" w:type="dxa"/>
            <w:tcBorders>
              <w:top w:val="single" w:sz="4" w:space="0" w:color="auto"/>
              <w:left w:val="nil"/>
              <w:bottom w:val="single" w:sz="4" w:space="0" w:color="auto"/>
              <w:right w:val="nil"/>
            </w:tcBorders>
            <w:shd w:val="clear" w:color="000000" w:fill="D9D9D9"/>
            <w:vAlign w:val="bottom"/>
            <w:hideMark/>
          </w:tcPr>
          <w:p w14:paraId="64B7CF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2018-19</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AA7448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2019-20</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DFD456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2020-21</w:t>
            </w:r>
          </w:p>
        </w:tc>
      </w:tr>
      <w:tr w:rsidR="00FD1464" w:rsidRPr="00FD1464" w14:paraId="590ADD80"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961768D"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Swansea</w:t>
            </w:r>
          </w:p>
        </w:tc>
        <w:tc>
          <w:tcPr>
            <w:tcW w:w="572" w:type="dxa"/>
            <w:tcBorders>
              <w:top w:val="nil"/>
              <w:left w:val="nil"/>
              <w:bottom w:val="single" w:sz="4" w:space="0" w:color="auto"/>
              <w:right w:val="single" w:sz="4" w:space="0" w:color="auto"/>
            </w:tcBorders>
            <w:shd w:val="clear" w:color="auto" w:fill="auto"/>
            <w:noWrap/>
            <w:vAlign w:val="bottom"/>
            <w:hideMark/>
          </w:tcPr>
          <w:p w14:paraId="4B0DB2D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7930E7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auto" w:fill="auto"/>
            <w:noWrap/>
            <w:vAlign w:val="bottom"/>
            <w:hideMark/>
          </w:tcPr>
          <w:p w14:paraId="0F9DD63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14.6</w:t>
            </w:r>
          </w:p>
        </w:tc>
        <w:tc>
          <w:tcPr>
            <w:tcW w:w="573" w:type="dxa"/>
            <w:tcBorders>
              <w:top w:val="nil"/>
              <w:left w:val="nil"/>
              <w:bottom w:val="single" w:sz="4" w:space="0" w:color="auto"/>
              <w:right w:val="single" w:sz="4" w:space="0" w:color="auto"/>
            </w:tcBorders>
            <w:shd w:val="clear" w:color="000000" w:fill="FFFFFF"/>
            <w:noWrap/>
            <w:vAlign w:val="bottom"/>
            <w:hideMark/>
          </w:tcPr>
          <w:p w14:paraId="352F318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nil"/>
              <w:bottom w:val="single" w:sz="4" w:space="0" w:color="auto"/>
              <w:right w:val="single" w:sz="4" w:space="0" w:color="auto"/>
            </w:tcBorders>
            <w:shd w:val="clear" w:color="000000" w:fill="FFFFFF"/>
            <w:noWrap/>
            <w:vAlign w:val="bottom"/>
            <w:hideMark/>
          </w:tcPr>
          <w:p w14:paraId="6E8AE69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15.1</w:t>
            </w:r>
          </w:p>
        </w:tc>
        <w:tc>
          <w:tcPr>
            <w:tcW w:w="573" w:type="dxa"/>
            <w:tcBorders>
              <w:top w:val="nil"/>
              <w:left w:val="nil"/>
              <w:bottom w:val="single" w:sz="4" w:space="0" w:color="auto"/>
              <w:right w:val="single" w:sz="4" w:space="0" w:color="auto"/>
            </w:tcBorders>
            <w:shd w:val="clear" w:color="000000" w:fill="FFFFFF"/>
            <w:noWrap/>
            <w:vAlign w:val="bottom"/>
            <w:hideMark/>
          </w:tcPr>
          <w:p w14:paraId="61BC5E8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13.4</w:t>
            </w:r>
          </w:p>
        </w:tc>
        <w:tc>
          <w:tcPr>
            <w:tcW w:w="573" w:type="dxa"/>
            <w:tcBorders>
              <w:top w:val="nil"/>
              <w:left w:val="nil"/>
              <w:bottom w:val="single" w:sz="4" w:space="0" w:color="auto"/>
              <w:right w:val="single" w:sz="4" w:space="0" w:color="auto"/>
            </w:tcBorders>
            <w:shd w:val="clear" w:color="000000" w:fill="FFFFFF"/>
            <w:noWrap/>
            <w:vAlign w:val="bottom"/>
            <w:hideMark/>
          </w:tcPr>
          <w:p w14:paraId="12836C0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c>
          <w:tcPr>
            <w:tcW w:w="573" w:type="dxa"/>
            <w:tcBorders>
              <w:top w:val="nil"/>
              <w:left w:val="nil"/>
              <w:bottom w:val="single" w:sz="4" w:space="0" w:color="auto"/>
              <w:right w:val="single" w:sz="4" w:space="0" w:color="auto"/>
            </w:tcBorders>
            <w:shd w:val="clear" w:color="000000" w:fill="FFFFFF"/>
            <w:noWrap/>
            <w:vAlign w:val="bottom"/>
            <w:hideMark/>
          </w:tcPr>
          <w:p w14:paraId="56D46CE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19.2</w:t>
            </w:r>
          </w:p>
        </w:tc>
        <w:tc>
          <w:tcPr>
            <w:tcW w:w="573" w:type="dxa"/>
            <w:tcBorders>
              <w:top w:val="nil"/>
              <w:left w:val="nil"/>
              <w:bottom w:val="single" w:sz="4" w:space="0" w:color="auto"/>
              <w:right w:val="single" w:sz="4" w:space="0" w:color="auto"/>
            </w:tcBorders>
            <w:shd w:val="clear" w:color="auto" w:fill="auto"/>
            <w:noWrap/>
            <w:vAlign w:val="bottom"/>
            <w:hideMark/>
          </w:tcPr>
          <w:p w14:paraId="2E63FA9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21.2</w:t>
            </w:r>
          </w:p>
        </w:tc>
        <w:tc>
          <w:tcPr>
            <w:tcW w:w="573" w:type="dxa"/>
            <w:tcBorders>
              <w:top w:val="nil"/>
              <w:left w:val="nil"/>
              <w:bottom w:val="single" w:sz="4" w:space="0" w:color="auto"/>
              <w:right w:val="single" w:sz="4" w:space="0" w:color="auto"/>
            </w:tcBorders>
            <w:shd w:val="clear" w:color="000000" w:fill="FFFFFF"/>
            <w:noWrap/>
            <w:vAlign w:val="bottom"/>
            <w:hideMark/>
          </w:tcPr>
          <w:p w14:paraId="4C9177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25.8</w:t>
            </w:r>
          </w:p>
        </w:tc>
        <w:tc>
          <w:tcPr>
            <w:tcW w:w="573" w:type="dxa"/>
            <w:tcBorders>
              <w:top w:val="nil"/>
              <w:left w:val="nil"/>
              <w:bottom w:val="single" w:sz="4" w:space="0" w:color="auto"/>
              <w:right w:val="nil"/>
            </w:tcBorders>
            <w:shd w:val="clear" w:color="000000" w:fill="FFFFFF"/>
            <w:noWrap/>
            <w:vAlign w:val="bottom"/>
            <w:hideMark/>
          </w:tcPr>
          <w:p w14:paraId="0390314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11.3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DBEE2D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11CDA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r>
      <w:tr w:rsidR="00FD1464" w:rsidRPr="00FD1464" w14:paraId="67ED6CA3"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0E057F0"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Neath Port Talbot</w:t>
            </w:r>
          </w:p>
        </w:tc>
        <w:tc>
          <w:tcPr>
            <w:tcW w:w="572" w:type="dxa"/>
            <w:tcBorders>
              <w:top w:val="nil"/>
              <w:left w:val="nil"/>
              <w:bottom w:val="single" w:sz="4" w:space="0" w:color="auto"/>
              <w:right w:val="single" w:sz="4" w:space="0" w:color="auto"/>
            </w:tcBorders>
            <w:shd w:val="clear" w:color="auto" w:fill="auto"/>
            <w:noWrap/>
            <w:vAlign w:val="bottom"/>
            <w:hideMark/>
          </w:tcPr>
          <w:p w14:paraId="099A3CE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27.7</w:t>
            </w:r>
          </w:p>
        </w:tc>
        <w:tc>
          <w:tcPr>
            <w:tcW w:w="572" w:type="dxa"/>
            <w:tcBorders>
              <w:top w:val="nil"/>
              <w:left w:val="nil"/>
              <w:bottom w:val="single" w:sz="4" w:space="0" w:color="auto"/>
              <w:right w:val="single" w:sz="4" w:space="0" w:color="auto"/>
            </w:tcBorders>
            <w:shd w:val="clear" w:color="auto" w:fill="auto"/>
            <w:noWrap/>
            <w:vAlign w:val="bottom"/>
            <w:hideMark/>
          </w:tcPr>
          <w:p w14:paraId="7D1F0B8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23.4</w:t>
            </w:r>
          </w:p>
        </w:tc>
        <w:tc>
          <w:tcPr>
            <w:tcW w:w="573" w:type="dxa"/>
            <w:tcBorders>
              <w:top w:val="nil"/>
              <w:left w:val="nil"/>
              <w:bottom w:val="single" w:sz="4" w:space="0" w:color="auto"/>
              <w:right w:val="single" w:sz="4" w:space="0" w:color="auto"/>
            </w:tcBorders>
            <w:shd w:val="clear" w:color="auto" w:fill="auto"/>
            <w:noWrap/>
            <w:vAlign w:val="bottom"/>
            <w:hideMark/>
          </w:tcPr>
          <w:p w14:paraId="2B0B5C2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33.1</w:t>
            </w:r>
          </w:p>
        </w:tc>
        <w:tc>
          <w:tcPr>
            <w:tcW w:w="573" w:type="dxa"/>
            <w:tcBorders>
              <w:top w:val="nil"/>
              <w:left w:val="nil"/>
              <w:bottom w:val="single" w:sz="4" w:space="0" w:color="auto"/>
              <w:right w:val="single" w:sz="4" w:space="0" w:color="auto"/>
            </w:tcBorders>
            <w:shd w:val="clear" w:color="000000" w:fill="FFFFFF"/>
            <w:noWrap/>
            <w:vAlign w:val="bottom"/>
            <w:hideMark/>
          </w:tcPr>
          <w:p w14:paraId="6DDAC03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8.3</w:t>
            </w:r>
          </w:p>
        </w:tc>
        <w:tc>
          <w:tcPr>
            <w:tcW w:w="573" w:type="dxa"/>
            <w:tcBorders>
              <w:top w:val="nil"/>
              <w:left w:val="nil"/>
              <w:bottom w:val="single" w:sz="4" w:space="0" w:color="auto"/>
              <w:right w:val="single" w:sz="4" w:space="0" w:color="auto"/>
            </w:tcBorders>
            <w:shd w:val="clear" w:color="000000" w:fill="FFFFFF"/>
            <w:noWrap/>
            <w:vAlign w:val="bottom"/>
            <w:hideMark/>
          </w:tcPr>
          <w:p w14:paraId="7C0C265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18.9</w:t>
            </w:r>
          </w:p>
        </w:tc>
        <w:tc>
          <w:tcPr>
            <w:tcW w:w="573" w:type="dxa"/>
            <w:tcBorders>
              <w:top w:val="nil"/>
              <w:left w:val="nil"/>
              <w:bottom w:val="single" w:sz="4" w:space="0" w:color="auto"/>
              <w:right w:val="single" w:sz="4" w:space="0" w:color="auto"/>
            </w:tcBorders>
            <w:shd w:val="clear" w:color="000000" w:fill="FFFFFF"/>
            <w:noWrap/>
            <w:vAlign w:val="bottom"/>
            <w:hideMark/>
          </w:tcPr>
          <w:p w14:paraId="7926B77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1.7</w:t>
            </w:r>
          </w:p>
        </w:tc>
        <w:tc>
          <w:tcPr>
            <w:tcW w:w="573" w:type="dxa"/>
            <w:tcBorders>
              <w:top w:val="nil"/>
              <w:left w:val="nil"/>
              <w:bottom w:val="single" w:sz="4" w:space="0" w:color="auto"/>
              <w:right w:val="single" w:sz="4" w:space="0" w:color="auto"/>
            </w:tcBorders>
            <w:shd w:val="clear" w:color="000000" w:fill="FFFFFF"/>
            <w:noWrap/>
            <w:vAlign w:val="bottom"/>
            <w:hideMark/>
          </w:tcPr>
          <w:p w14:paraId="5D59E39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000000" w:fill="FFFFFF"/>
            <w:noWrap/>
            <w:vAlign w:val="bottom"/>
            <w:hideMark/>
          </w:tcPr>
          <w:p w14:paraId="5C7D061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24.4</w:t>
            </w:r>
          </w:p>
        </w:tc>
        <w:tc>
          <w:tcPr>
            <w:tcW w:w="573" w:type="dxa"/>
            <w:tcBorders>
              <w:top w:val="nil"/>
              <w:left w:val="nil"/>
              <w:bottom w:val="single" w:sz="4" w:space="0" w:color="auto"/>
              <w:right w:val="single" w:sz="4" w:space="0" w:color="auto"/>
            </w:tcBorders>
            <w:shd w:val="clear" w:color="000000" w:fill="FFFFFF"/>
            <w:noWrap/>
            <w:vAlign w:val="bottom"/>
            <w:hideMark/>
          </w:tcPr>
          <w:p w14:paraId="435EE82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9.9</w:t>
            </w:r>
          </w:p>
        </w:tc>
        <w:tc>
          <w:tcPr>
            <w:tcW w:w="573" w:type="dxa"/>
            <w:tcBorders>
              <w:top w:val="nil"/>
              <w:left w:val="nil"/>
              <w:bottom w:val="single" w:sz="4" w:space="0" w:color="auto"/>
              <w:right w:val="single" w:sz="4" w:space="0" w:color="auto"/>
            </w:tcBorders>
            <w:shd w:val="clear" w:color="000000" w:fill="FFFFFF"/>
            <w:noWrap/>
            <w:vAlign w:val="bottom"/>
            <w:hideMark/>
          </w:tcPr>
          <w:p w14:paraId="2AFD3DE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34.5</w:t>
            </w:r>
          </w:p>
        </w:tc>
        <w:tc>
          <w:tcPr>
            <w:tcW w:w="573" w:type="dxa"/>
            <w:tcBorders>
              <w:top w:val="nil"/>
              <w:left w:val="nil"/>
              <w:bottom w:val="single" w:sz="4" w:space="0" w:color="auto"/>
              <w:right w:val="nil"/>
            </w:tcBorders>
            <w:shd w:val="clear" w:color="000000" w:fill="FFFFFF"/>
            <w:noWrap/>
            <w:vAlign w:val="bottom"/>
            <w:hideMark/>
          </w:tcPr>
          <w:p w14:paraId="503C3B3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31B9136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16.4</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429855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45.1</w:t>
            </w:r>
          </w:p>
        </w:tc>
      </w:tr>
      <w:tr w:rsidR="00FD1464" w:rsidRPr="00FD1464" w14:paraId="079938ED"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A6DAA18"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Wales</w:t>
            </w:r>
          </w:p>
        </w:tc>
        <w:tc>
          <w:tcPr>
            <w:tcW w:w="572" w:type="dxa"/>
            <w:tcBorders>
              <w:top w:val="nil"/>
              <w:left w:val="nil"/>
              <w:bottom w:val="single" w:sz="4" w:space="0" w:color="auto"/>
              <w:right w:val="single" w:sz="4" w:space="0" w:color="auto"/>
            </w:tcBorders>
            <w:shd w:val="clear" w:color="auto" w:fill="auto"/>
            <w:noWrap/>
            <w:vAlign w:val="bottom"/>
            <w:hideMark/>
          </w:tcPr>
          <w:p w14:paraId="7C231E6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A5149E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17.5</w:t>
            </w:r>
          </w:p>
        </w:tc>
        <w:tc>
          <w:tcPr>
            <w:tcW w:w="573" w:type="dxa"/>
            <w:tcBorders>
              <w:top w:val="nil"/>
              <w:left w:val="nil"/>
              <w:bottom w:val="single" w:sz="4" w:space="0" w:color="auto"/>
              <w:right w:val="single" w:sz="4" w:space="0" w:color="auto"/>
            </w:tcBorders>
            <w:shd w:val="clear" w:color="auto" w:fill="auto"/>
            <w:noWrap/>
            <w:vAlign w:val="bottom"/>
            <w:hideMark/>
          </w:tcPr>
          <w:p w14:paraId="4B8CF4A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20.4</w:t>
            </w:r>
          </w:p>
        </w:tc>
        <w:tc>
          <w:tcPr>
            <w:tcW w:w="573" w:type="dxa"/>
            <w:tcBorders>
              <w:top w:val="nil"/>
              <w:left w:val="nil"/>
              <w:bottom w:val="single" w:sz="4" w:space="0" w:color="auto"/>
              <w:right w:val="single" w:sz="4" w:space="0" w:color="auto"/>
            </w:tcBorders>
            <w:shd w:val="clear" w:color="000000" w:fill="FFFFFF"/>
            <w:noWrap/>
            <w:vAlign w:val="bottom"/>
            <w:hideMark/>
          </w:tcPr>
          <w:p w14:paraId="7992FE1D"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12.8</w:t>
            </w:r>
          </w:p>
        </w:tc>
        <w:tc>
          <w:tcPr>
            <w:tcW w:w="573" w:type="dxa"/>
            <w:tcBorders>
              <w:top w:val="nil"/>
              <w:left w:val="nil"/>
              <w:bottom w:val="single" w:sz="4" w:space="0" w:color="auto"/>
              <w:right w:val="single" w:sz="4" w:space="0" w:color="auto"/>
            </w:tcBorders>
            <w:shd w:val="clear" w:color="000000" w:fill="FFFFFF"/>
            <w:noWrap/>
            <w:vAlign w:val="bottom"/>
            <w:hideMark/>
          </w:tcPr>
          <w:p w14:paraId="172B8F01"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18.1</w:t>
            </w:r>
          </w:p>
        </w:tc>
        <w:tc>
          <w:tcPr>
            <w:tcW w:w="573" w:type="dxa"/>
            <w:tcBorders>
              <w:top w:val="nil"/>
              <w:left w:val="nil"/>
              <w:bottom w:val="single" w:sz="4" w:space="0" w:color="auto"/>
              <w:right w:val="single" w:sz="4" w:space="0" w:color="auto"/>
            </w:tcBorders>
            <w:shd w:val="clear" w:color="000000" w:fill="FFFFFF"/>
            <w:noWrap/>
            <w:vAlign w:val="bottom"/>
            <w:hideMark/>
          </w:tcPr>
          <w:p w14:paraId="7D19E59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10.3</w:t>
            </w:r>
          </w:p>
        </w:tc>
        <w:tc>
          <w:tcPr>
            <w:tcW w:w="573" w:type="dxa"/>
            <w:tcBorders>
              <w:top w:val="nil"/>
              <w:left w:val="nil"/>
              <w:bottom w:val="single" w:sz="4" w:space="0" w:color="auto"/>
              <w:right w:val="single" w:sz="4" w:space="0" w:color="auto"/>
            </w:tcBorders>
            <w:shd w:val="clear" w:color="000000" w:fill="FFFFFF"/>
            <w:noWrap/>
            <w:vAlign w:val="bottom"/>
            <w:hideMark/>
          </w:tcPr>
          <w:p w14:paraId="6588BB1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25.1</w:t>
            </w:r>
          </w:p>
        </w:tc>
        <w:tc>
          <w:tcPr>
            <w:tcW w:w="573" w:type="dxa"/>
            <w:tcBorders>
              <w:top w:val="nil"/>
              <w:left w:val="nil"/>
              <w:bottom w:val="single" w:sz="4" w:space="0" w:color="auto"/>
              <w:right w:val="single" w:sz="4" w:space="0" w:color="auto"/>
            </w:tcBorders>
            <w:shd w:val="clear" w:color="000000" w:fill="FFFFFF"/>
            <w:noWrap/>
            <w:vAlign w:val="bottom"/>
            <w:hideMark/>
          </w:tcPr>
          <w:p w14:paraId="497E9C9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17.4</w:t>
            </w:r>
          </w:p>
        </w:tc>
        <w:tc>
          <w:tcPr>
            <w:tcW w:w="573" w:type="dxa"/>
            <w:tcBorders>
              <w:top w:val="nil"/>
              <w:left w:val="nil"/>
              <w:bottom w:val="single" w:sz="4" w:space="0" w:color="auto"/>
              <w:right w:val="single" w:sz="4" w:space="0" w:color="auto"/>
            </w:tcBorders>
            <w:shd w:val="clear" w:color="000000" w:fill="FFFFFF"/>
            <w:noWrap/>
            <w:vAlign w:val="bottom"/>
            <w:hideMark/>
          </w:tcPr>
          <w:p w14:paraId="194A96B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17.7</w:t>
            </w:r>
          </w:p>
        </w:tc>
        <w:tc>
          <w:tcPr>
            <w:tcW w:w="573" w:type="dxa"/>
            <w:tcBorders>
              <w:top w:val="nil"/>
              <w:left w:val="nil"/>
              <w:bottom w:val="single" w:sz="4" w:space="0" w:color="auto"/>
              <w:right w:val="single" w:sz="4" w:space="0" w:color="auto"/>
            </w:tcBorders>
            <w:shd w:val="clear" w:color="000000" w:fill="FFFFFF"/>
            <w:noWrap/>
            <w:vAlign w:val="bottom"/>
            <w:hideMark/>
          </w:tcPr>
          <w:p w14:paraId="5D84AAF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32.3</w:t>
            </w:r>
          </w:p>
        </w:tc>
        <w:tc>
          <w:tcPr>
            <w:tcW w:w="573" w:type="dxa"/>
            <w:tcBorders>
              <w:top w:val="nil"/>
              <w:left w:val="nil"/>
              <w:bottom w:val="single" w:sz="4" w:space="0" w:color="auto"/>
              <w:right w:val="nil"/>
            </w:tcBorders>
            <w:shd w:val="clear" w:color="000000" w:fill="FFFFFF"/>
            <w:noWrap/>
            <w:vAlign w:val="bottom"/>
            <w:hideMark/>
          </w:tcPr>
          <w:p w14:paraId="45A0BB2C"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13.3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2396C3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10.0</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F93CA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30.9</w:t>
            </w:r>
          </w:p>
        </w:tc>
      </w:tr>
      <w:tr w:rsidR="00FD1464" w:rsidRPr="00FD1464" w14:paraId="35A71B59" w14:textId="77777777" w:rsidTr="00FD1464">
        <w:trPr>
          <w:trHeight w:val="518"/>
        </w:trPr>
        <w:tc>
          <w:tcPr>
            <w:tcW w:w="1507" w:type="dxa"/>
            <w:tcBorders>
              <w:top w:val="nil"/>
              <w:left w:val="single" w:sz="4" w:space="0" w:color="auto"/>
              <w:bottom w:val="single" w:sz="4" w:space="0" w:color="auto"/>
              <w:right w:val="single" w:sz="4" w:space="0" w:color="auto"/>
            </w:tcBorders>
            <w:shd w:val="clear" w:color="000000" w:fill="D9D9D9"/>
            <w:vAlign w:val="bottom"/>
            <w:hideMark/>
          </w:tcPr>
          <w:p w14:paraId="1C29968B"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Wales average winter temperature</w:t>
            </w:r>
          </w:p>
        </w:tc>
        <w:tc>
          <w:tcPr>
            <w:tcW w:w="572" w:type="dxa"/>
            <w:tcBorders>
              <w:top w:val="nil"/>
              <w:left w:val="nil"/>
              <w:bottom w:val="single" w:sz="4" w:space="0" w:color="auto"/>
              <w:right w:val="single" w:sz="4" w:space="0" w:color="auto"/>
            </w:tcBorders>
            <w:shd w:val="clear" w:color="000000" w:fill="D9D9D9"/>
            <w:noWrap/>
            <w:vAlign w:val="bottom"/>
            <w:hideMark/>
          </w:tcPr>
          <w:p w14:paraId="0281200D"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3.42</w:t>
            </w:r>
          </w:p>
        </w:tc>
        <w:tc>
          <w:tcPr>
            <w:tcW w:w="572" w:type="dxa"/>
            <w:tcBorders>
              <w:top w:val="nil"/>
              <w:left w:val="nil"/>
              <w:bottom w:val="single" w:sz="4" w:space="0" w:color="auto"/>
              <w:right w:val="single" w:sz="4" w:space="0" w:color="auto"/>
            </w:tcBorders>
            <w:shd w:val="clear" w:color="000000" w:fill="D9D9D9"/>
            <w:noWrap/>
            <w:vAlign w:val="bottom"/>
            <w:hideMark/>
          </w:tcPr>
          <w:p w14:paraId="2EB7462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2.21</w:t>
            </w:r>
          </w:p>
        </w:tc>
        <w:tc>
          <w:tcPr>
            <w:tcW w:w="573" w:type="dxa"/>
            <w:tcBorders>
              <w:top w:val="nil"/>
              <w:left w:val="nil"/>
              <w:bottom w:val="single" w:sz="4" w:space="0" w:color="auto"/>
              <w:right w:val="single" w:sz="4" w:space="0" w:color="auto"/>
            </w:tcBorders>
            <w:shd w:val="clear" w:color="000000" w:fill="D9D9D9"/>
            <w:noWrap/>
            <w:vAlign w:val="bottom"/>
            <w:hideMark/>
          </w:tcPr>
          <w:p w14:paraId="480A045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2.80</w:t>
            </w:r>
          </w:p>
        </w:tc>
        <w:tc>
          <w:tcPr>
            <w:tcW w:w="573" w:type="dxa"/>
            <w:tcBorders>
              <w:top w:val="nil"/>
              <w:left w:val="nil"/>
              <w:bottom w:val="single" w:sz="4" w:space="0" w:color="auto"/>
              <w:right w:val="single" w:sz="4" w:space="0" w:color="auto"/>
            </w:tcBorders>
            <w:shd w:val="clear" w:color="000000" w:fill="D9D9D9"/>
            <w:noWrap/>
            <w:vAlign w:val="bottom"/>
            <w:hideMark/>
          </w:tcPr>
          <w:p w14:paraId="4354FF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5.27</w:t>
            </w:r>
          </w:p>
        </w:tc>
        <w:tc>
          <w:tcPr>
            <w:tcW w:w="573" w:type="dxa"/>
            <w:tcBorders>
              <w:top w:val="nil"/>
              <w:left w:val="nil"/>
              <w:bottom w:val="single" w:sz="4" w:space="0" w:color="auto"/>
              <w:right w:val="single" w:sz="4" w:space="0" w:color="auto"/>
            </w:tcBorders>
            <w:shd w:val="clear" w:color="000000" w:fill="D9D9D9"/>
            <w:noWrap/>
            <w:vAlign w:val="bottom"/>
            <w:hideMark/>
          </w:tcPr>
          <w:p w14:paraId="2EC89AB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3.87</w:t>
            </w:r>
          </w:p>
        </w:tc>
        <w:tc>
          <w:tcPr>
            <w:tcW w:w="573" w:type="dxa"/>
            <w:tcBorders>
              <w:top w:val="nil"/>
              <w:left w:val="nil"/>
              <w:bottom w:val="single" w:sz="4" w:space="0" w:color="auto"/>
              <w:right w:val="single" w:sz="4" w:space="0" w:color="auto"/>
            </w:tcBorders>
            <w:shd w:val="clear" w:color="000000" w:fill="D9D9D9"/>
            <w:noWrap/>
            <w:vAlign w:val="bottom"/>
            <w:hideMark/>
          </w:tcPr>
          <w:p w14:paraId="60E3486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5.71</w:t>
            </w:r>
          </w:p>
        </w:tc>
        <w:tc>
          <w:tcPr>
            <w:tcW w:w="573" w:type="dxa"/>
            <w:tcBorders>
              <w:top w:val="nil"/>
              <w:left w:val="nil"/>
              <w:bottom w:val="single" w:sz="4" w:space="0" w:color="auto"/>
              <w:right w:val="single" w:sz="4" w:space="0" w:color="auto"/>
            </w:tcBorders>
            <w:shd w:val="clear" w:color="000000" w:fill="D9D9D9"/>
            <w:noWrap/>
            <w:vAlign w:val="bottom"/>
            <w:hideMark/>
          </w:tcPr>
          <w:p w14:paraId="0A5D519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4.43</w:t>
            </w:r>
          </w:p>
        </w:tc>
        <w:tc>
          <w:tcPr>
            <w:tcW w:w="573" w:type="dxa"/>
            <w:tcBorders>
              <w:top w:val="nil"/>
              <w:left w:val="nil"/>
              <w:bottom w:val="single" w:sz="4" w:space="0" w:color="auto"/>
              <w:right w:val="single" w:sz="4" w:space="0" w:color="auto"/>
            </w:tcBorders>
            <w:shd w:val="clear" w:color="000000" w:fill="D9D9D9"/>
            <w:noWrap/>
            <w:vAlign w:val="bottom"/>
            <w:hideMark/>
          </w:tcPr>
          <w:p w14:paraId="390ED9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6.40</w:t>
            </w:r>
          </w:p>
        </w:tc>
        <w:tc>
          <w:tcPr>
            <w:tcW w:w="573" w:type="dxa"/>
            <w:tcBorders>
              <w:top w:val="nil"/>
              <w:left w:val="nil"/>
              <w:bottom w:val="single" w:sz="4" w:space="0" w:color="auto"/>
              <w:right w:val="single" w:sz="4" w:space="0" w:color="auto"/>
            </w:tcBorders>
            <w:shd w:val="clear" w:color="000000" w:fill="D9D9D9"/>
            <w:noWrap/>
            <w:vAlign w:val="bottom"/>
            <w:hideMark/>
          </w:tcPr>
          <w:p w14:paraId="09B53BF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5.47</w:t>
            </w:r>
          </w:p>
        </w:tc>
        <w:tc>
          <w:tcPr>
            <w:tcW w:w="573" w:type="dxa"/>
            <w:tcBorders>
              <w:top w:val="nil"/>
              <w:left w:val="nil"/>
              <w:bottom w:val="single" w:sz="4" w:space="0" w:color="auto"/>
              <w:right w:val="single" w:sz="4" w:space="0" w:color="auto"/>
            </w:tcBorders>
            <w:shd w:val="clear" w:color="000000" w:fill="D9D9D9"/>
            <w:noWrap/>
            <w:vAlign w:val="bottom"/>
            <w:hideMark/>
          </w:tcPr>
          <w:p w14:paraId="08C97C1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c>
          <w:tcPr>
            <w:tcW w:w="573" w:type="dxa"/>
            <w:tcBorders>
              <w:top w:val="nil"/>
              <w:left w:val="nil"/>
              <w:bottom w:val="single" w:sz="4" w:space="0" w:color="auto"/>
              <w:right w:val="nil"/>
            </w:tcBorders>
            <w:shd w:val="clear" w:color="000000" w:fill="D9D9D9"/>
            <w:noWrap/>
            <w:vAlign w:val="bottom"/>
            <w:hideMark/>
          </w:tcPr>
          <w:p w14:paraId="34AB767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5.77</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30EDB9A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5.74</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2AF936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r>
    </w:tbl>
    <w:p w14:paraId="66D0FA73" w14:textId="77777777"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14:paraId="7A24F4CD" w14:textId="77777777" w:rsidR="003B4B08" w:rsidRDefault="00D94914" w:rsidP="00111565">
      <w:pPr>
        <w:spacing w:line="240" w:lineRule="auto"/>
        <w:jc w:val="both"/>
        <w:rPr>
          <w:color w:val="000000"/>
        </w:rPr>
      </w:pPr>
      <w:r>
        <w:rPr>
          <w:color w:val="000000"/>
        </w:rPr>
        <w:t>Source:</w:t>
      </w:r>
      <w:r w:rsidR="00C77049">
        <w:rPr>
          <w:color w:val="000000"/>
        </w:rPr>
        <w:t xml:space="preserve"> Office for National Statistics</w:t>
      </w:r>
    </w:p>
    <w:p w14:paraId="76D0534E" w14:textId="77777777" w:rsidR="008C5945" w:rsidRPr="00320BFE" w:rsidRDefault="006E765D" w:rsidP="00111565">
      <w:pPr>
        <w:spacing w:line="240" w:lineRule="auto"/>
        <w:jc w:val="both"/>
        <w:rPr>
          <w:b/>
          <w:sz w:val="23"/>
          <w:szCs w:val="23"/>
        </w:rPr>
      </w:pPr>
      <w:r w:rsidRPr="00FB3AA7">
        <w:rPr>
          <w:b/>
          <w:sz w:val="23"/>
          <w:szCs w:val="23"/>
        </w:rPr>
        <w:t>Avoidable Mortality</w:t>
      </w:r>
    </w:p>
    <w:p w14:paraId="3118DAD6" w14:textId="77777777" w:rsidR="000642FF" w:rsidRPr="00320BFE" w:rsidRDefault="000642FF" w:rsidP="00111565">
      <w:pPr>
        <w:spacing w:line="240" w:lineRule="auto"/>
        <w:jc w:val="both"/>
      </w:pPr>
      <w:r w:rsidRPr="00320BFE">
        <w:t xml:space="preserve">Avoidable deaths are all those defined as </w:t>
      </w:r>
    </w:p>
    <w:p w14:paraId="21901531" w14:textId="77777777" w:rsidR="000642FF" w:rsidRPr="00320BFE" w:rsidRDefault="000642FF" w:rsidP="00111565">
      <w:pPr>
        <w:numPr>
          <w:ilvl w:val="0"/>
          <w:numId w:val="9"/>
        </w:numPr>
        <w:spacing w:line="240" w:lineRule="auto"/>
        <w:jc w:val="both"/>
      </w:pPr>
      <w:r w:rsidRPr="00320BFE">
        <w:t xml:space="preserve">Preventable :- </w:t>
      </w:r>
    </w:p>
    <w:p w14:paraId="2F89BD49" w14:textId="77777777" w:rsidR="000642FF" w:rsidRPr="00320BFE" w:rsidRDefault="000642FF" w:rsidP="00111565">
      <w:pPr>
        <w:spacing w:line="240" w:lineRule="auto"/>
        <w:ind w:left="720"/>
        <w:jc w:val="both"/>
      </w:pPr>
      <w:r w:rsidRPr="00320BFE">
        <w:t xml:space="preserve">All or most deaths from that cause </w:t>
      </w:r>
      <w:proofErr w:type="gramStart"/>
      <w:r w:rsidRPr="00320BFE">
        <w:t>could be avoided</w:t>
      </w:r>
      <w:proofErr w:type="gramEnd"/>
      <w:r w:rsidRPr="00320BFE">
        <w:t xml:space="preserve"> through public health intervention. </w:t>
      </w:r>
      <w:r w:rsidR="008C5945" w:rsidRPr="00320BFE">
        <w:t>E.g</w:t>
      </w:r>
      <w:r w:rsidR="00EE6522" w:rsidRPr="00320BFE">
        <w:t>. S</w:t>
      </w:r>
      <w:r w:rsidRPr="00320BFE">
        <w:t>moking related deaths</w:t>
      </w:r>
      <w:r w:rsidR="00EE6522" w:rsidRPr="00320BFE">
        <w:t>.</w:t>
      </w:r>
    </w:p>
    <w:p w14:paraId="522F741B" w14:textId="77777777" w:rsidR="00EE6522" w:rsidRPr="00320BFE" w:rsidRDefault="00EE6522" w:rsidP="00111565">
      <w:pPr>
        <w:numPr>
          <w:ilvl w:val="0"/>
          <w:numId w:val="9"/>
        </w:numPr>
        <w:spacing w:line="240" w:lineRule="auto"/>
        <w:jc w:val="both"/>
      </w:pPr>
      <w:r w:rsidRPr="00320BFE">
        <w:t>Amenable :-</w:t>
      </w:r>
    </w:p>
    <w:p w14:paraId="018620CE" w14:textId="77777777" w:rsidR="00EE6522" w:rsidRPr="00320BFE" w:rsidRDefault="00EE6522" w:rsidP="00111565">
      <w:pPr>
        <w:spacing w:line="240" w:lineRule="auto"/>
        <w:ind w:left="720"/>
        <w:jc w:val="both"/>
      </w:pPr>
      <w:r w:rsidRPr="00320BFE">
        <w:t xml:space="preserve">All or most deaths from that cause </w:t>
      </w:r>
      <w:proofErr w:type="gramStart"/>
      <w:r w:rsidRPr="00320BFE">
        <w:t>could be avoided</w:t>
      </w:r>
      <w:proofErr w:type="gramEnd"/>
      <w:r w:rsidRPr="00320BFE">
        <w:t xml:space="preserve"> th</w:t>
      </w:r>
      <w:r w:rsidR="008C5945" w:rsidRPr="00320BFE">
        <w:t>rough good quality healthcare. E</w:t>
      </w:r>
      <w:r w:rsidRPr="00320BFE">
        <w:t>.g. Asthma.</w:t>
      </w:r>
    </w:p>
    <w:p w14:paraId="11A52F05" w14:textId="77777777" w:rsidR="00F97219"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14:paraId="09097E6E" w14:textId="77777777" w:rsidR="00687341" w:rsidRDefault="00687341" w:rsidP="00111565">
      <w:pPr>
        <w:spacing w:line="240" w:lineRule="auto"/>
        <w:jc w:val="both"/>
        <w:rPr>
          <w:b/>
        </w:rPr>
      </w:pPr>
    </w:p>
    <w:p w14:paraId="4C43F600" w14:textId="77777777" w:rsidR="003759E7" w:rsidRDefault="003759E7" w:rsidP="00111565">
      <w:pPr>
        <w:spacing w:line="240" w:lineRule="auto"/>
        <w:jc w:val="both"/>
        <w:rPr>
          <w:b/>
        </w:rPr>
      </w:pPr>
    </w:p>
    <w:p w14:paraId="66412A63" w14:textId="77777777" w:rsidR="00304F2F" w:rsidRPr="00B26521" w:rsidRDefault="00241490" w:rsidP="00687341">
      <w:pPr>
        <w:spacing w:line="240" w:lineRule="auto"/>
        <w:jc w:val="both"/>
      </w:pPr>
      <w:r w:rsidRPr="00E9774A">
        <w:lastRenderedPageBreak/>
        <w:t>Causes of death</w:t>
      </w:r>
      <w:r w:rsidRPr="007632CC">
        <w:t xml:space="preserve"> considered avoidable, amenable &amp; preventable, European age-standardised rate (EASR) per 100,000 </w:t>
      </w:r>
      <w:r w:rsidRPr="00B44FA7">
        <w:t xml:space="preserve">person, </w:t>
      </w:r>
      <w:r w:rsidR="008B0D1A" w:rsidRPr="00B44FA7">
        <w:t>Swansea Bay</w:t>
      </w:r>
      <w:r w:rsidR="00E9774A" w:rsidRPr="00B44FA7">
        <w:t xml:space="preserve"> UHB</w:t>
      </w:r>
      <w:r w:rsidR="00E9774A" w:rsidRPr="00B26521">
        <w:t>, 2014</w:t>
      </w:r>
      <w:r w:rsidRPr="00B26521">
        <w:t>-</w:t>
      </w:r>
      <w:r w:rsidR="00687341" w:rsidRPr="00B26521">
        <w:t>2020</w:t>
      </w:r>
    </w:p>
    <w:tbl>
      <w:tblPr>
        <w:tblW w:w="5343" w:type="pct"/>
        <w:tblInd w:w="-284" w:type="dxa"/>
        <w:tblLayout w:type="fixed"/>
        <w:tblCellMar>
          <w:left w:w="0" w:type="dxa"/>
          <w:right w:w="0" w:type="dxa"/>
        </w:tblCellMar>
        <w:tblLook w:val="04A0" w:firstRow="1" w:lastRow="0" w:firstColumn="1" w:lastColumn="0" w:noHBand="0" w:noVBand="1"/>
      </w:tblPr>
      <w:tblGrid>
        <w:gridCol w:w="664"/>
        <w:gridCol w:w="749"/>
        <w:gridCol w:w="708"/>
        <w:gridCol w:w="1566"/>
        <w:gridCol w:w="50"/>
        <w:gridCol w:w="654"/>
        <w:gridCol w:w="706"/>
        <w:gridCol w:w="1658"/>
        <w:gridCol w:w="50"/>
        <w:gridCol w:w="694"/>
        <w:gridCol w:w="708"/>
        <w:gridCol w:w="1433"/>
      </w:tblGrid>
      <w:tr w:rsidR="00241490" w:rsidRPr="00B26521" w14:paraId="1F9DE06D"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7"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77777777" w:rsidR="00241490" w:rsidRPr="00B26521" w:rsidRDefault="002A3AB6" w:rsidP="002A3AB6">
            <w:pPr>
              <w:spacing w:after="0"/>
              <w:jc w:val="center"/>
              <w:rPr>
                <w:rFonts w:ascii="Arial" w:hAnsi="Arial" w:cs="Arial"/>
                <w:b/>
                <w:bCs/>
                <w:color w:val="000000"/>
                <w:sz w:val="16"/>
                <w:szCs w:val="16"/>
              </w:rPr>
            </w:pPr>
            <w:r w:rsidRPr="00B26521">
              <w:rPr>
                <w:rFonts w:ascii="Arial" w:hAnsi="Arial" w:cs="Arial"/>
                <w:b/>
                <w:bCs/>
                <w:color w:val="000000"/>
                <w:sz w:val="16"/>
                <w:szCs w:val="16"/>
              </w:rPr>
              <w:t>Treatable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Preventable</w:t>
            </w:r>
          </w:p>
        </w:tc>
      </w:tr>
      <w:tr w:rsidR="00241490" w:rsidRPr="00B26521" w14:paraId="29CCD623" w14:textId="77777777" w:rsidTr="003759E7">
        <w:trPr>
          <w:trHeight w:val="444"/>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78"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r>
      <w:tr w:rsidR="0076612D" w:rsidRPr="00B26521" w14:paraId="5174913E"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2014</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269</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(156-184)</w:t>
            </w:r>
          </w:p>
        </w:tc>
      </w:tr>
      <w:tr w:rsidR="0076612D" w:rsidRPr="00B26521" w14:paraId="0BBBBFB5"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2015</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292</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w:t>
            </w:r>
            <w:r w:rsidR="0033666B" w:rsidRPr="00B26521">
              <w:rPr>
                <w:rFonts w:ascii="Arial" w:hAnsi="Arial" w:cs="Arial"/>
                <w:color w:val="000000"/>
                <w:sz w:val="16"/>
                <w:szCs w:val="16"/>
              </w:rPr>
              <w:t>3</w:t>
            </w:r>
            <w:r w:rsidRPr="00B26521">
              <w:rPr>
                <w:rFonts w:ascii="Arial" w:hAnsi="Arial" w:cs="Arial"/>
                <w:color w:val="000000"/>
                <w:sz w:val="16"/>
                <w:szCs w:val="16"/>
              </w:rPr>
              <w:t>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(174-204)</w:t>
            </w:r>
          </w:p>
        </w:tc>
      </w:tr>
      <w:tr w:rsidR="0076612D" w:rsidRPr="00B26521" w14:paraId="1A807491"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2016</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304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(192-222)</w:t>
            </w:r>
          </w:p>
        </w:tc>
      </w:tr>
      <w:tr w:rsidR="0076612D" w:rsidRPr="00B26521" w14:paraId="564E0467"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2017</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(183-213)</w:t>
            </w:r>
          </w:p>
        </w:tc>
      </w:tr>
      <w:tr w:rsidR="00FD346B" w:rsidRPr="00B26521" w14:paraId="3CDAF6A8"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B26521" w:rsidRDefault="00FD346B"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2018</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(179-208)</w:t>
            </w:r>
          </w:p>
        </w:tc>
      </w:tr>
      <w:tr w:rsidR="003759E7" w:rsidRPr="00B26521" w14:paraId="50AA941C"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B26521" w:rsidRDefault="00796D7F"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2019</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B26521"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B26521"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(164-191)</w:t>
            </w:r>
          </w:p>
        </w:tc>
      </w:tr>
      <w:tr w:rsidR="00687341" w:rsidRPr="00B26521" w14:paraId="0278730A"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B26521" w:rsidRDefault="00687341"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2020</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(316–354)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1597E88" w14:textId="77777777" w:rsidR="00687341" w:rsidRPr="00B26521"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404</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(102-124)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FE1AB40" w14:textId="77777777" w:rsidR="00687341" w:rsidRPr="00B26521"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(207-238)</w:t>
            </w:r>
          </w:p>
        </w:tc>
      </w:tr>
    </w:tbl>
    <w:p w14:paraId="61E1FDA1" w14:textId="77777777" w:rsidR="00241490" w:rsidRPr="00B26521" w:rsidRDefault="00241490" w:rsidP="00241490">
      <w:pPr>
        <w:spacing w:after="0"/>
        <w:jc w:val="both"/>
      </w:pPr>
    </w:p>
    <w:p w14:paraId="35CBEFC5" w14:textId="77777777" w:rsidR="00523272" w:rsidRPr="00320BFE" w:rsidRDefault="00EE6522" w:rsidP="00C504EE">
      <w:pPr>
        <w:spacing w:line="240" w:lineRule="auto"/>
        <w:jc w:val="both"/>
      </w:pPr>
      <w:r w:rsidRPr="00B26521">
        <w:t xml:space="preserve">This shows that the </w:t>
      </w:r>
      <w:r w:rsidRPr="00B26521">
        <w:rPr>
          <w:u w:val="single"/>
        </w:rPr>
        <w:t>calculated</w:t>
      </w:r>
      <w:r w:rsidRPr="00B26521">
        <w:t xml:space="preserve"> rate of </w:t>
      </w:r>
      <w:r w:rsidR="00523272" w:rsidRPr="00B26521">
        <w:t xml:space="preserve">deaths considered </w:t>
      </w:r>
      <w:r w:rsidRPr="00B26521">
        <w:t xml:space="preserve">avoidable (which </w:t>
      </w:r>
      <w:proofErr w:type="gramStart"/>
      <w:r w:rsidRPr="00B26521">
        <w:t>is shown</w:t>
      </w:r>
      <w:proofErr w:type="gramEnd"/>
      <w:r w:rsidRPr="00B26521">
        <w:t xml:space="preserve"> as an age-standardised rate per 100,000 people)</w:t>
      </w:r>
      <w:r w:rsidR="00891073" w:rsidRPr="00B26521">
        <w:t>.</w:t>
      </w:r>
      <w:r w:rsidR="001B1160" w:rsidRPr="00B26521">
        <w:t xml:space="preserve"> T</w:t>
      </w:r>
      <w:r w:rsidRPr="00B26521">
        <w:t xml:space="preserve">he All Wales average is </w:t>
      </w:r>
      <w:r w:rsidR="00980877" w:rsidRPr="00B26521">
        <w:t>287 in 2020</w:t>
      </w:r>
      <w:r w:rsidR="00155F48" w:rsidRPr="00B26521">
        <w:t>.</w:t>
      </w:r>
    </w:p>
    <w:p w14:paraId="6BBA20B8" w14:textId="77777777" w:rsidR="00EE6522" w:rsidRPr="00FF4751" w:rsidRDefault="00015216" w:rsidP="00147FCD">
      <w:pPr>
        <w:spacing w:line="240" w:lineRule="auto"/>
        <w:jc w:val="both"/>
      </w:pPr>
      <w:r w:rsidRPr="00320BFE">
        <w:t xml:space="preserve">It </w:t>
      </w:r>
      <w:proofErr w:type="gramStart"/>
      <w:r w:rsidRPr="00320BFE">
        <w:t>should be noted</w:t>
      </w:r>
      <w:proofErr w:type="gramEnd"/>
      <w:r w:rsidRPr="00320BFE">
        <w:t xml:space="preserve"> that the above is a statistical calculation based on analysis of the cause of death on </w:t>
      </w:r>
      <w:r w:rsidRPr="00FF4751">
        <w:t>the Death certificate and is not based on specific in depth reviews on individual deaths.</w:t>
      </w:r>
    </w:p>
    <w:p w14:paraId="5E862FF9" w14:textId="77777777" w:rsidR="00905720" w:rsidRPr="00B26521" w:rsidRDefault="00905720" w:rsidP="00905720">
      <w:r w:rsidRPr="00B26521">
        <w:t xml:space="preserve">At SBUHB, the way in which all deaths are scrutinised </w:t>
      </w:r>
      <w:r w:rsidR="00B44FA7" w:rsidRPr="00B26521">
        <w:t xml:space="preserve">has </w:t>
      </w:r>
      <w:r w:rsidRPr="00B26521">
        <w:t>chang</w:t>
      </w:r>
      <w:r w:rsidR="00B44FA7" w:rsidRPr="00B26521">
        <w:t>ed</w:t>
      </w:r>
      <w:r w:rsidRPr="00B26521">
        <w:t xml:space="preserve"> as the new Medical Examiner Service for Wales (MES) </w:t>
      </w:r>
      <w:proofErr w:type="gramStart"/>
      <w:r w:rsidRPr="00B26521">
        <w:t>is rolled out</w:t>
      </w:r>
      <w:proofErr w:type="gramEnd"/>
      <w:r w:rsidR="00B44FA7" w:rsidRPr="00B26521">
        <w:t xml:space="preserve">. </w:t>
      </w:r>
      <w:r w:rsidRPr="00B26521">
        <w:t>The Health Board has adopted the National Learning from Deaths Framework and created an efficient and effective system to ensure each of these referrals receives a proportionate investigation, and any themes collected and learning shared across t</w:t>
      </w:r>
      <w:r w:rsidR="00B44FA7" w:rsidRPr="00B26521">
        <w:t>he health board and nationally.</w:t>
      </w:r>
    </w:p>
    <w:p w14:paraId="5CEB4A7B" w14:textId="77777777" w:rsidR="006700DF" w:rsidRPr="00B26521" w:rsidRDefault="00914808" w:rsidP="00147FCD">
      <w:pPr>
        <w:spacing w:line="240" w:lineRule="auto"/>
        <w:jc w:val="both"/>
        <w:rPr>
          <w:b/>
        </w:rPr>
      </w:pPr>
      <w:r w:rsidRPr="00B26521">
        <w:rPr>
          <w:b/>
        </w:rPr>
        <w:t xml:space="preserve">Deaths by Place of </w:t>
      </w:r>
      <w:proofErr w:type="spellStart"/>
      <w:r w:rsidRPr="00B26521">
        <w:rPr>
          <w:b/>
        </w:rPr>
        <w:t>Occurence</w:t>
      </w:r>
      <w:proofErr w:type="spellEnd"/>
    </w:p>
    <w:p w14:paraId="49954785" w14:textId="77777777" w:rsidR="00FB0F1E" w:rsidRPr="00A61E40" w:rsidRDefault="00FB0F1E" w:rsidP="00147FCD">
      <w:pPr>
        <w:spacing w:line="240" w:lineRule="auto"/>
        <w:jc w:val="both"/>
      </w:pPr>
      <w:r w:rsidRPr="00B26521">
        <w:t>Percentage of de</w:t>
      </w:r>
      <w:r w:rsidR="00902ED1" w:rsidRPr="00B26521">
        <w:t xml:space="preserve">aths by place of occurrence </w:t>
      </w:r>
      <w:r w:rsidR="00FD1464" w:rsidRPr="00B26521">
        <w:t>2021</w:t>
      </w:r>
      <w:r w:rsidR="004A2224" w:rsidRPr="00B26521">
        <w:t>.</w:t>
      </w:r>
    </w:p>
    <w:tbl>
      <w:tblPr>
        <w:tblW w:w="10137" w:type="dxa"/>
        <w:jc w:val="center"/>
        <w:tblLook w:val="04A0" w:firstRow="1" w:lastRow="0" w:firstColumn="1" w:lastColumn="0" w:noHBand="0" w:noVBand="1"/>
      </w:tblPr>
      <w:tblGrid>
        <w:gridCol w:w="1427"/>
        <w:gridCol w:w="854"/>
        <w:gridCol w:w="938"/>
        <w:gridCol w:w="1057"/>
        <w:gridCol w:w="854"/>
        <w:gridCol w:w="857"/>
        <w:gridCol w:w="869"/>
        <w:gridCol w:w="857"/>
        <w:gridCol w:w="1359"/>
        <w:gridCol w:w="1065"/>
      </w:tblGrid>
      <w:tr w:rsidR="00C2665B" w:rsidRPr="004F1816" w14:paraId="13B40E1B" w14:textId="77777777" w:rsidTr="003942DB">
        <w:trPr>
          <w:trHeight w:val="435"/>
          <w:jc w:val="center"/>
        </w:trPr>
        <w:tc>
          <w:tcPr>
            <w:tcW w:w="1427"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48C3F1C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201EFEB1" w14:textId="77777777"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14:paraId="601D83E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6759DFDA"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4"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95"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1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2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14:paraId="5297C8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14:paraId="23E65CD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9" w:type="dxa"/>
            <w:vMerge w:val="restart"/>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14:paraId="44F8755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14:paraId="0ABA905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val="restart"/>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14:paraId="543D61F9" w14:textId="77777777" w:rsidTr="006521DE">
        <w:trPr>
          <w:trHeight w:val="360"/>
          <w:jc w:val="center"/>
        </w:trPr>
        <w:tc>
          <w:tcPr>
            <w:tcW w:w="1427"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4"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8"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14:paraId="28306B5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14:paraId="64B7831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4"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9" w:type="dxa"/>
            <w:vMerge/>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6521DE" w:rsidRPr="004F1816" w14:paraId="51018E30" w14:textId="77777777" w:rsidTr="006521DE">
        <w:trPr>
          <w:trHeight w:val="28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6521DE" w:rsidRPr="0006023D" w:rsidRDefault="006521DE" w:rsidP="006521DE">
            <w:pPr>
              <w:spacing w:after="0" w:line="240" w:lineRule="auto"/>
              <w:jc w:val="center"/>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38773"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28.5</w:t>
            </w:r>
            <w:r w:rsidRPr="00DD5535">
              <w:rPr>
                <w:rFonts w:ascii="Arial" w:hAnsi="Arial" w:cs="Arial"/>
                <w:color w:val="000000"/>
                <w:sz w:val="16"/>
                <w:szCs w:val="16"/>
              </w:rPr>
              <w:t>%</w:t>
            </w:r>
          </w:p>
        </w:tc>
        <w:tc>
          <w:tcPr>
            <w:tcW w:w="938" w:type="dxa"/>
            <w:tcBorders>
              <w:top w:val="single" w:sz="4" w:space="0" w:color="auto"/>
              <w:left w:val="nil"/>
              <w:bottom w:val="single" w:sz="4" w:space="0" w:color="auto"/>
              <w:right w:val="single" w:sz="4" w:space="0" w:color="auto"/>
            </w:tcBorders>
            <w:shd w:val="clear" w:color="auto" w:fill="auto"/>
            <w:noWrap/>
            <w:vAlign w:val="center"/>
          </w:tcPr>
          <w:p w14:paraId="04F02E8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1.2</w:t>
            </w:r>
            <w:r w:rsidRPr="00DD5535">
              <w:rPr>
                <w:rFonts w:ascii="Arial" w:hAnsi="Arial" w:cs="Arial"/>
                <w:color w:val="000000"/>
                <w:sz w:val="16"/>
                <w:szCs w:val="16"/>
              </w:rPr>
              <w:t>%</w:t>
            </w:r>
          </w:p>
        </w:tc>
        <w:tc>
          <w:tcPr>
            <w:tcW w:w="1057" w:type="dxa"/>
            <w:tcBorders>
              <w:top w:val="single" w:sz="4" w:space="0" w:color="auto"/>
              <w:left w:val="nil"/>
              <w:bottom w:val="single" w:sz="4" w:space="0" w:color="auto"/>
              <w:right w:val="single" w:sz="4" w:space="0" w:color="auto"/>
            </w:tcBorders>
            <w:shd w:val="clear" w:color="auto" w:fill="auto"/>
            <w:noWrap/>
            <w:vAlign w:val="center"/>
          </w:tcPr>
          <w:p w14:paraId="0D36C705"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16.7</w:t>
            </w:r>
            <w:r w:rsidRPr="00DD5535">
              <w:rPr>
                <w:rFonts w:ascii="Arial" w:hAnsi="Arial" w:cs="Arial"/>
                <w:color w:val="000000"/>
                <w:sz w:val="16"/>
                <w:szCs w:val="16"/>
              </w:rPr>
              <w:t>%</w:t>
            </w:r>
          </w:p>
        </w:tc>
        <w:tc>
          <w:tcPr>
            <w:tcW w:w="854" w:type="dxa"/>
            <w:tcBorders>
              <w:top w:val="single" w:sz="4" w:space="0" w:color="auto"/>
              <w:left w:val="nil"/>
              <w:bottom w:val="single" w:sz="4" w:space="0" w:color="auto"/>
              <w:right w:val="single" w:sz="4" w:space="0" w:color="auto"/>
            </w:tcBorders>
            <w:shd w:val="clear" w:color="auto" w:fill="auto"/>
            <w:noWrap/>
            <w:vAlign w:val="center"/>
          </w:tcPr>
          <w:p w14:paraId="097DBE98"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single" w:sz="4" w:space="0" w:color="auto"/>
              <w:left w:val="nil"/>
              <w:bottom w:val="single" w:sz="4" w:space="0" w:color="auto"/>
              <w:right w:val="single" w:sz="4" w:space="0" w:color="auto"/>
            </w:tcBorders>
            <w:shd w:val="clear" w:color="auto" w:fill="auto"/>
            <w:noWrap/>
            <w:vAlign w:val="center"/>
          </w:tcPr>
          <w:p w14:paraId="38059467"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w:t>
            </w:r>
            <w:r w:rsidRPr="00DD5535">
              <w:rPr>
                <w:rFonts w:ascii="Arial" w:hAnsi="Arial" w:cs="Arial"/>
                <w:color w:val="000000"/>
                <w:sz w:val="16"/>
                <w:szCs w:val="16"/>
              </w:rPr>
              <w:t>%</w:t>
            </w:r>
          </w:p>
        </w:tc>
        <w:tc>
          <w:tcPr>
            <w:tcW w:w="869" w:type="dxa"/>
            <w:tcBorders>
              <w:top w:val="single" w:sz="4" w:space="0" w:color="auto"/>
              <w:left w:val="nil"/>
              <w:bottom w:val="single" w:sz="4" w:space="0" w:color="auto"/>
              <w:right w:val="single" w:sz="4" w:space="0" w:color="auto"/>
            </w:tcBorders>
            <w:shd w:val="clear" w:color="000000" w:fill="FFFFFF"/>
            <w:noWrap/>
            <w:vAlign w:val="center"/>
            <w:hideMark/>
          </w:tcPr>
          <w:p w14:paraId="491AFC53"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47.7</w:t>
            </w:r>
            <w:r w:rsidRPr="00DD5535">
              <w:rPr>
                <w:rFonts w:ascii="Arial" w:hAnsi="Arial" w:cs="Arial"/>
                <w:color w:val="000000"/>
                <w:sz w:val="16"/>
                <w:szCs w:val="16"/>
              </w:rPr>
              <w:t>%</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14:paraId="2B4ECBE1"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14:paraId="08F03468"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single" w:sz="4" w:space="0" w:color="auto"/>
              <w:left w:val="nil"/>
              <w:bottom w:val="single" w:sz="4" w:space="0" w:color="auto"/>
              <w:right w:val="single" w:sz="4" w:space="0" w:color="auto"/>
            </w:tcBorders>
            <w:shd w:val="clear" w:color="auto" w:fill="auto"/>
            <w:noWrap/>
            <w:vAlign w:val="center"/>
            <w:hideMark/>
          </w:tcPr>
          <w:p w14:paraId="02174011"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2.1%</w:t>
            </w:r>
          </w:p>
        </w:tc>
      </w:tr>
      <w:tr w:rsidR="006521DE" w:rsidRPr="004F1816" w14:paraId="765B8FED" w14:textId="77777777" w:rsidTr="006521DE">
        <w:trPr>
          <w:trHeight w:val="31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Powys Teaching</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1D3567C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27.1</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24DB717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119DE90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w:t>
            </w:r>
            <w:r w:rsidRPr="00DD5535">
              <w:rPr>
                <w:rFonts w:ascii="Arial" w:hAnsi="Arial" w:cs="Arial"/>
                <w:color w:val="000000"/>
                <w:sz w:val="16"/>
                <w:szCs w:val="16"/>
              </w:rPr>
              <w:t>.7%</w:t>
            </w:r>
          </w:p>
        </w:tc>
        <w:tc>
          <w:tcPr>
            <w:tcW w:w="854" w:type="dxa"/>
            <w:tcBorders>
              <w:top w:val="nil"/>
              <w:left w:val="nil"/>
              <w:bottom w:val="single" w:sz="4" w:space="0" w:color="auto"/>
              <w:right w:val="single" w:sz="4" w:space="0" w:color="auto"/>
            </w:tcBorders>
            <w:shd w:val="clear" w:color="auto" w:fill="auto"/>
            <w:noWrap/>
            <w:vAlign w:val="center"/>
          </w:tcPr>
          <w:p w14:paraId="7202A8B5"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6B0F13CC"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3C77769D"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50.2</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4E0E4877"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14FED87F"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0.1%</w:t>
            </w:r>
          </w:p>
        </w:tc>
        <w:tc>
          <w:tcPr>
            <w:tcW w:w="1065" w:type="dxa"/>
            <w:tcBorders>
              <w:top w:val="nil"/>
              <w:left w:val="nil"/>
              <w:bottom w:val="single" w:sz="4" w:space="0" w:color="auto"/>
              <w:right w:val="single" w:sz="4" w:space="0" w:color="auto"/>
            </w:tcBorders>
            <w:shd w:val="clear" w:color="auto" w:fill="auto"/>
            <w:noWrap/>
            <w:vAlign w:val="center"/>
            <w:hideMark/>
          </w:tcPr>
          <w:p w14:paraId="0FC43CC2"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2.3%</w:t>
            </w:r>
          </w:p>
        </w:tc>
      </w:tr>
      <w:tr w:rsidR="006521DE" w:rsidRPr="004F1816" w14:paraId="402AE102" w14:textId="77777777" w:rsidTr="006521DE">
        <w:trPr>
          <w:trHeight w:val="319"/>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Hywel Dda</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661A1E7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32.5</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13101FC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2.2</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6C9F55D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16.3</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37AC85A0"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708F1C45"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3D3C7868"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45.3</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53E3F2A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6AE054A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auto" w:fill="auto"/>
            <w:noWrap/>
            <w:vAlign w:val="center"/>
            <w:hideMark/>
          </w:tcPr>
          <w:p w14:paraId="3B1C1A5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r>
      <w:tr w:rsidR="006521DE" w:rsidRPr="004F1816" w14:paraId="640663CA" w14:textId="77777777" w:rsidTr="006521DE">
        <w:trPr>
          <w:trHeight w:val="246"/>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Aneurin Bevan</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488F034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32.3</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317E1BBB"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0.8</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4DFA9359"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11.7</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20F3A2F0"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3DBE905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1.8</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vAlign w:val="center"/>
            <w:hideMark/>
          </w:tcPr>
          <w:p w14:paraId="52B4AB41"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51.0</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781ABF4A"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3529828E"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nil"/>
              <w:left w:val="nil"/>
              <w:bottom w:val="single" w:sz="4" w:space="0" w:color="auto"/>
              <w:right w:val="single" w:sz="4" w:space="0" w:color="auto"/>
            </w:tcBorders>
            <w:shd w:val="clear" w:color="auto" w:fill="auto"/>
            <w:noWrap/>
            <w:vAlign w:val="center"/>
            <w:hideMark/>
          </w:tcPr>
          <w:p w14:paraId="1482410E"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r>
      <w:tr w:rsidR="006521DE" w:rsidRPr="004F1816" w14:paraId="79029627" w14:textId="77777777" w:rsidTr="006521DE">
        <w:trPr>
          <w:trHeight w:val="351"/>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020EE55C"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30.2</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1081ABCE"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59A8A5D9"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13.5</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35EF6686"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3C3D03B6"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4.3</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0BC43F9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49.5</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02C7B7CF"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42E325AA"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0.5%</w:t>
            </w:r>
          </w:p>
        </w:tc>
        <w:tc>
          <w:tcPr>
            <w:tcW w:w="1065" w:type="dxa"/>
            <w:tcBorders>
              <w:top w:val="nil"/>
              <w:left w:val="nil"/>
              <w:bottom w:val="single" w:sz="4" w:space="0" w:color="auto"/>
              <w:right w:val="single" w:sz="4" w:space="0" w:color="auto"/>
            </w:tcBorders>
            <w:shd w:val="clear" w:color="auto" w:fill="auto"/>
            <w:noWrap/>
            <w:vAlign w:val="center"/>
            <w:hideMark/>
          </w:tcPr>
          <w:p w14:paraId="1F28BDB5"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1.8%</w:t>
            </w:r>
          </w:p>
        </w:tc>
      </w:tr>
      <w:tr w:rsidR="006521DE" w:rsidRPr="004F1816" w14:paraId="067116A8" w14:textId="77777777" w:rsidTr="006521DE">
        <w:trPr>
          <w:trHeight w:val="32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10AFC45F"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28.1%</w:t>
            </w:r>
          </w:p>
        </w:tc>
        <w:tc>
          <w:tcPr>
            <w:tcW w:w="938" w:type="dxa"/>
            <w:tcBorders>
              <w:top w:val="nil"/>
              <w:left w:val="nil"/>
              <w:bottom w:val="single" w:sz="4" w:space="0" w:color="auto"/>
              <w:right w:val="single" w:sz="4" w:space="0" w:color="auto"/>
            </w:tcBorders>
            <w:shd w:val="clear" w:color="auto" w:fill="auto"/>
            <w:noWrap/>
            <w:vAlign w:val="center"/>
          </w:tcPr>
          <w:p w14:paraId="420D26FC"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0D9D6D6A"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10.6</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6B7B2324"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6E001FA6"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0.1%</w:t>
            </w:r>
          </w:p>
        </w:tc>
        <w:tc>
          <w:tcPr>
            <w:tcW w:w="869" w:type="dxa"/>
            <w:tcBorders>
              <w:top w:val="nil"/>
              <w:left w:val="nil"/>
              <w:bottom w:val="single" w:sz="4" w:space="0" w:color="auto"/>
              <w:right w:val="single" w:sz="4" w:space="0" w:color="auto"/>
            </w:tcBorders>
            <w:shd w:val="clear" w:color="000000" w:fill="FFFFFF"/>
            <w:noWrap/>
            <w:vAlign w:val="center"/>
            <w:hideMark/>
          </w:tcPr>
          <w:p w14:paraId="15CB2203" w14:textId="77777777" w:rsidR="006521DE" w:rsidRPr="00FF4751" w:rsidRDefault="00DF4978" w:rsidP="006521DE">
            <w:pPr>
              <w:spacing w:line="240" w:lineRule="auto"/>
              <w:jc w:val="center"/>
              <w:rPr>
                <w:rFonts w:ascii="Arial" w:hAnsi="Arial" w:cs="Arial"/>
                <w:color w:val="000000"/>
                <w:sz w:val="16"/>
                <w:szCs w:val="16"/>
              </w:rPr>
            </w:pPr>
            <w:r>
              <w:rPr>
                <w:rFonts w:ascii="Arial" w:hAnsi="Arial" w:cs="Arial"/>
                <w:color w:val="000000"/>
                <w:sz w:val="16"/>
                <w:szCs w:val="16"/>
              </w:rPr>
              <w:t>57.5%</w:t>
            </w:r>
          </w:p>
        </w:tc>
        <w:tc>
          <w:tcPr>
            <w:tcW w:w="857" w:type="dxa"/>
            <w:tcBorders>
              <w:top w:val="nil"/>
              <w:left w:val="nil"/>
              <w:bottom w:val="single" w:sz="4" w:space="0" w:color="auto"/>
              <w:right w:val="single" w:sz="4" w:space="0" w:color="auto"/>
            </w:tcBorders>
            <w:shd w:val="clear" w:color="auto" w:fill="auto"/>
            <w:noWrap/>
            <w:vAlign w:val="center"/>
            <w:hideMark/>
          </w:tcPr>
          <w:p w14:paraId="2CE48690"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560B0200"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1.0%</w:t>
            </w:r>
          </w:p>
        </w:tc>
        <w:tc>
          <w:tcPr>
            <w:tcW w:w="1065" w:type="dxa"/>
            <w:tcBorders>
              <w:top w:val="nil"/>
              <w:left w:val="nil"/>
              <w:bottom w:val="single" w:sz="4" w:space="0" w:color="auto"/>
              <w:right w:val="single" w:sz="4" w:space="0" w:color="auto"/>
            </w:tcBorders>
            <w:shd w:val="clear" w:color="auto" w:fill="auto"/>
            <w:noWrap/>
            <w:vAlign w:val="center"/>
            <w:hideMark/>
          </w:tcPr>
          <w:p w14:paraId="7F58A2F9"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3.9%</w:t>
            </w:r>
          </w:p>
        </w:tc>
      </w:tr>
      <w:tr w:rsidR="006521DE" w:rsidRPr="00FF4751" w14:paraId="58A3AF59" w14:textId="77777777" w:rsidTr="006521DE">
        <w:trPr>
          <w:trHeight w:val="31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B7EE999" w14:textId="77777777" w:rsidR="006521DE" w:rsidRPr="00FF4751" w:rsidRDefault="006521DE" w:rsidP="006521DE">
            <w:pPr>
              <w:spacing w:after="0" w:line="240" w:lineRule="auto"/>
              <w:jc w:val="center"/>
              <w:rPr>
                <w:rFonts w:asciiTheme="minorHAnsi" w:hAnsiTheme="minorHAnsi" w:cstheme="minorHAnsi"/>
                <w:color w:val="000000"/>
                <w:sz w:val="18"/>
                <w:szCs w:val="18"/>
              </w:rPr>
            </w:pPr>
            <w:r w:rsidRPr="00FF4751">
              <w:rPr>
                <w:rFonts w:asciiTheme="minorHAnsi" w:hAnsiTheme="minorHAnsi" w:cstheme="minorHAnsi"/>
                <w:color w:val="000000"/>
                <w:sz w:val="18"/>
                <w:szCs w:val="18"/>
              </w:rPr>
              <w:t>Swansea Bay</w:t>
            </w:r>
          </w:p>
        </w:tc>
        <w:tc>
          <w:tcPr>
            <w:tcW w:w="854" w:type="dxa"/>
            <w:tcBorders>
              <w:top w:val="nil"/>
              <w:left w:val="single" w:sz="4" w:space="0" w:color="auto"/>
              <w:bottom w:val="single" w:sz="4" w:space="0" w:color="auto"/>
              <w:right w:val="single" w:sz="4" w:space="0" w:color="auto"/>
            </w:tcBorders>
            <w:shd w:val="clear" w:color="000000" w:fill="FFFFFF"/>
            <w:noWrap/>
            <w:vAlign w:val="center"/>
          </w:tcPr>
          <w:p w14:paraId="0ED45FC3"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32.0</w:t>
            </w:r>
            <w:r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FFFFFF"/>
            <w:noWrap/>
            <w:vAlign w:val="center"/>
          </w:tcPr>
          <w:p w14:paraId="046A72C4"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FFFFFF"/>
            <w:noWrap/>
            <w:vAlign w:val="center"/>
          </w:tcPr>
          <w:p w14:paraId="02C18227"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14.5</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FFFFFF"/>
            <w:noWrap/>
            <w:vAlign w:val="center"/>
          </w:tcPr>
          <w:p w14:paraId="54AAC771"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FFFFFF"/>
            <w:noWrap/>
            <w:vAlign w:val="center"/>
          </w:tcPr>
          <w:p w14:paraId="36B21983"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0.0</w:t>
            </w:r>
            <w:r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698990CD" w14:textId="77777777" w:rsidR="001F1F4B" w:rsidRPr="00FA65FE" w:rsidRDefault="00DF4978" w:rsidP="001F1F4B">
            <w:pPr>
              <w:spacing w:line="240" w:lineRule="auto"/>
              <w:jc w:val="center"/>
              <w:rPr>
                <w:rFonts w:ascii="Arial" w:hAnsi="Arial" w:cs="Arial"/>
                <w:color w:val="000000"/>
                <w:sz w:val="16"/>
                <w:szCs w:val="16"/>
              </w:rPr>
            </w:pPr>
            <w:r w:rsidRPr="00FA65FE">
              <w:rPr>
                <w:rFonts w:ascii="Arial" w:hAnsi="Arial" w:cs="Arial"/>
                <w:color w:val="000000"/>
                <w:sz w:val="16"/>
                <w:szCs w:val="16"/>
              </w:rPr>
              <w:t>48.8</w:t>
            </w:r>
            <w:r w:rsidR="006521DE" w:rsidRPr="00FA65FE">
              <w:rPr>
                <w:rFonts w:ascii="Arial" w:hAnsi="Arial" w:cs="Arial"/>
                <w:color w:val="000000"/>
                <w:sz w:val="16"/>
                <w:szCs w:val="16"/>
              </w:rPr>
              <w:t>%</w:t>
            </w:r>
            <w:r w:rsidR="001F1F4B" w:rsidRPr="00FA65FE">
              <w:rPr>
                <w:rFonts w:ascii="Arial" w:hAnsi="Arial" w:cs="Arial"/>
                <w:color w:val="000000"/>
                <w:sz w:val="16"/>
                <w:szCs w:val="16"/>
              </w:rPr>
              <w:t xml:space="preserve"> (</w:t>
            </w:r>
            <w:r w:rsidR="00FA65FE" w:rsidRPr="00FA65FE">
              <w:rPr>
                <w:rFonts w:ascii="Arial" w:hAnsi="Arial" w:cs="Arial"/>
                <w:color w:val="000000"/>
                <w:sz w:val="16"/>
                <w:szCs w:val="16"/>
              </w:rPr>
              <w:t>45.5%</w:t>
            </w:r>
            <w:r w:rsidR="001F1F4B" w:rsidRPr="00FA65FE">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FFFFFF"/>
            <w:noWrap/>
            <w:vAlign w:val="center"/>
            <w:hideMark/>
          </w:tcPr>
          <w:p w14:paraId="5D84FCFC" w14:textId="77777777" w:rsidR="006521DE" w:rsidRPr="00FA65FE" w:rsidRDefault="006521DE" w:rsidP="006521DE">
            <w:pPr>
              <w:spacing w:line="240" w:lineRule="auto"/>
              <w:jc w:val="center"/>
              <w:rPr>
                <w:rFonts w:ascii="Arial" w:hAnsi="Arial" w:cs="Arial"/>
                <w:color w:val="000000"/>
                <w:sz w:val="16"/>
                <w:szCs w:val="16"/>
              </w:rPr>
            </w:pPr>
            <w:r w:rsidRPr="00FA65FE">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FFFFFF"/>
            <w:noWrap/>
            <w:vAlign w:val="center"/>
            <w:hideMark/>
          </w:tcPr>
          <w:p w14:paraId="51EA3AB2"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FFFFFF"/>
            <w:noWrap/>
            <w:vAlign w:val="center"/>
            <w:hideMark/>
          </w:tcPr>
          <w:p w14:paraId="21DA8EC4"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2.5%</w:t>
            </w:r>
          </w:p>
        </w:tc>
      </w:tr>
      <w:tr w:rsidR="00DD5535" w:rsidRPr="00FF4751" w14:paraId="2022A39C" w14:textId="77777777" w:rsidTr="006521DE">
        <w:trPr>
          <w:trHeight w:val="376"/>
          <w:jc w:val="center"/>
        </w:trPr>
        <w:tc>
          <w:tcPr>
            <w:tcW w:w="1427"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77777777" w:rsidR="00DD5535" w:rsidRPr="00FF4751" w:rsidRDefault="00DD5535" w:rsidP="00BE5DBD">
            <w:pPr>
              <w:spacing w:after="0" w:line="240" w:lineRule="auto"/>
              <w:jc w:val="center"/>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WALES</w:t>
            </w:r>
          </w:p>
        </w:tc>
        <w:tc>
          <w:tcPr>
            <w:tcW w:w="854" w:type="dxa"/>
            <w:tcBorders>
              <w:top w:val="nil"/>
              <w:left w:val="single" w:sz="4" w:space="0" w:color="auto"/>
              <w:bottom w:val="single" w:sz="4" w:space="0" w:color="auto"/>
              <w:right w:val="single" w:sz="4" w:space="0" w:color="auto"/>
            </w:tcBorders>
            <w:shd w:val="clear" w:color="000000" w:fill="D9D9D9"/>
            <w:noWrap/>
            <w:vAlign w:val="center"/>
          </w:tcPr>
          <w:p w14:paraId="582943C2"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30.3</w:t>
            </w:r>
            <w:r w:rsidR="00DD5535"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D9D9D9"/>
            <w:noWrap/>
            <w:vAlign w:val="center"/>
          </w:tcPr>
          <w:p w14:paraId="4219590C"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1.1</w:t>
            </w:r>
            <w:r w:rsidR="00DD5535"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D9D9D9"/>
            <w:noWrap/>
            <w:vAlign w:val="center"/>
          </w:tcPr>
          <w:p w14:paraId="6179E697"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14.0</w:t>
            </w:r>
            <w:r w:rsidR="00DD5535"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D9D9D9"/>
            <w:noWrap/>
            <w:vAlign w:val="center"/>
          </w:tcPr>
          <w:p w14:paraId="1C9028C4"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D9D9D9"/>
            <w:noWrap/>
            <w:vAlign w:val="center"/>
          </w:tcPr>
          <w:p w14:paraId="6178AEFC"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1.9</w:t>
            </w:r>
            <w:r w:rsidR="00DD5535"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D9D9D9"/>
            <w:noWrap/>
            <w:vAlign w:val="center"/>
            <w:hideMark/>
          </w:tcPr>
          <w:p w14:paraId="6DDDD3D5"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49.9</w:t>
            </w:r>
            <w:r w:rsidR="00DD5535" w:rsidRPr="00FF4751">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D9D9D9"/>
            <w:noWrap/>
            <w:vAlign w:val="center"/>
            <w:hideMark/>
          </w:tcPr>
          <w:p w14:paraId="72148DDC"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D9D9D9"/>
            <w:noWrap/>
            <w:vAlign w:val="center"/>
            <w:hideMark/>
          </w:tcPr>
          <w:p w14:paraId="199317F3"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D9D9D9"/>
            <w:noWrap/>
            <w:vAlign w:val="center"/>
            <w:hideMark/>
          </w:tcPr>
          <w:p w14:paraId="3B0A95D3"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2.6</w:t>
            </w:r>
            <w:r w:rsidR="00DD5535" w:rsidRPr="00FF4751">
              <w:rPr>
                <w:rFonts w:ascii="Arial" w:hAnsi="Arial" w:cs="Arial"/>
                <w:color w:val="000000"/>
                <w:sz w:val="16"/>
                <w:szCs w:val="16"/>
              </w:rPr>
              <w:t>%</w:t>
            </w:r>
          </w:p>
        </w:tc>
      </w:tr>
    </w:tbl>
    <w:p w14:paraId="6BEB56FC" w14:textId="77777777" w:rsidR="00015216" w:rsidRDefault="00015216" w:rsidP="00111565">
      <w:pPr>
        <w:spacing w:before="240" w:line="240" w:lineRule="auto"/>
        <w:jc w:val="both"/>
        <w:rPr>
          <w:color w:val="000000"/>
        </w:rPr>
      </w:pPr>
      <w:r w:rsidRPr="00B26521">
        <w:t xml:space="preserve">The </w:t>
      </w:r>
      <w:r w:rsidR="001E0727" w:rsidRPr="00B26521">
        <w:t xml:space="preserve">above table shows that around </w:t>
      </w:r>
      <w:r w:rsidR="00FA65FE" w:rsidRPr="00B26521">
        <w:t>45.5</w:t>
      </w:r>
      <w:r w:rsidRPr="00B26521">
        <w:t>%</w:t>
      </w:r>
      <w:r w:rsidR="00D61453" w:rsidRPr="00B26521">
        <w:t xml:space="preserve"> (</w:t>
      </w:r>
      <w:r w:rsidR="00FA65FE" w:rsidRPr="00B26521">
        <w:t>2,086</w:t>
      </w:r>
      <w:r w:rsidR="00C032B2" w:rsidRPr="00B26521">
        <w:t>)</w:t>
      </w:r>
      <w:r w:rsidRPr="00B26521">
        <w:t xml:space="preserve"> of our population die in hospital compared to </w:t>
      </w:r>
      <w:r w:rsidR="00DF4978" w:rsidRPr="00B26521">
        <w:t>49.9</w:t>
      </w:r>
      <w:r w:rsidRPr="00B26521">
        <w:t>%</w:t>
      </w:r>
      <w:r w:rsidR="00C032B2" w:rsidRPr="00B26521">
        <w:t xml:space="preserve"> (</w:t>
      </w:r>
      <w:r w:rsidR="00DF4978" w:rsidRPr="00B26521">
        <w:t>18,016</w:t>
      </w:r>
      <w:r w:rsidR="00C032B2" w:rsidRPr="00B26521">
        <w:rPr>
          <w:color w:val="000000"/>
        </w:rPr>
        <w:t xml:space="preserve">) </w:t>
      </w:r>
      <w:r w:rsidR="00FA048D" w:rsidRPr="00B26521">
        <w:rPr>
          <w:color w:val="000000"/>
        </w:rPr>
        <w:t>for Wales.</w:t>
      </w:r>
    </w:p>
    <w:p w14:paraId="3E74EE0B" w14:textId="77777777" w:rsidR="00B344A2" w:rsidRDefault="00B344A2" w:rsidP="00111565">
      <w:pPr>
        <w:spacing w:before="240" w:line="240" w:lineRule="auto"/>
        <w:jc w:val="both"/>
        <w:rPr>
          <w:color w:val="000000"/>
        </w:rPr>
      </w:pPr>
    </w:p>
    <w:p w14:paraId="26DCF670" w14:textId="77777777" w:rsidR="00185F79" w:rsidRPr="009E741E" w:rsidRDefault="00185F79" w:rsidP="00111565">
      <w:pPr>
        <w:spacing w:line="240" w:lineRule="auto"/>
        <w:jc w:val="both"/>
        <w:rPr>
          <w:vanish/>
        </w:rPr>
      </w:pPr>
    </w:p>
    <w:p w14:paraId="05E6E362" w14:textId="77777777" w:rsidR="00E70F8C" w:rsidRPr="00FD5227" w:rsidRDefault="00E70F8C" w:rsidP="00111565">
      <w:pPr>
        <w:spacing w:line="240" w:lineRule="auto"/>
        <w:jc w:val="both"/>
        <w:rPr>
          <w:b/>
        </w:rPr>
      </w:pPr>
      <w:r w:rsidRPr="00FD5227">
        <w:rPr>
          <w:b/>
        </w:rPr>
        <w:t>In-hospital Mortality</w:t>
      </w:r>
    </w:p>
    <w:p w14:paraId="05ADDF07" w14:textId="06498E02" w:rsidR="00EC0F08" w:rsidRPr="00FD5227" w:rsidRDefault="005D55FA" w:rsidP="00147FCD">
      <w:pPr>
        <w:spacing w:line="240" w:lineRule="auto"/>
        <w:jc w:val="both"/>
        <w:rPr>
          <w:b/>
        </w:rPr>
      </w:pPr>
      <w:r w:rsidRPr="00FD5227">
        <w:t>During</w:t>
      </w:r>
      <w:r w:rsidR="002A31DE" w:rsidRPr="00FD5227">
        <w:t xml:space="preserve"> the rolling 12 month period to </w:t>
      </w:r>
      <w:r w:rsidR="00E8133E" w:rsidRPr="00FD5227">
        <w:t>June</w:t>
      </w:r>
      <w:r w:rsidR="00ED43D3" w:rsidRPr="00FD5227">
        <w:t xml:space="preserve"> 2023</w:t>
      </w:r>
      <w:r w:rsidR="002A31DE" w:rsidRPr="00FD5227">
        <w:t xml:space="preserve"> on average </w:t>
      </w:r>
      <w:r w:rsidR="00B56D9D" w:rsidRPr="00FD5227">
        <w:t>170</w:t>
      </w:r>
      <w:r w:rsidR="003056E0" w:rsidRPr="00FD5227">
        <w:t xml:space="preserve"> people died in our hospitals</w:t>
      </w:r>
      <w:r w:rsidRPr="00FD5227">
        <w:t xml:space="preserve"> per month</w:t>
      </w:r>
      <w:r w:rsidR="003056E0" w:rsidRPr="00FD5227">
        <w:t>.</w:t>
      </w:r>
      <w:r w:rsidR="00C63E1C" w:rsidRPr="00FD5227">
        <w:t xml:space="preserve"> </w:t>
      </w:r>
      <w:r w:rsidR="00F50236" w:rsidRPr="00FD5227">
        <w:t xml:space="preserve">This is </w:t>
      </w:r>
      <w:r w:rsidR="00E8133E" w:rsidRPr="00FD5227">
        <w:t>the same as</w:t>
      </w:r>
      <w:r w:rsidR="00C97685" w:rsidRPr="00FD5227">
        <w:t xml:space="preserve"> </w:t>
      </w:r>
      <w:r w:rsidR="005057B2" w:rsidRPr="00FD5227">
        <w:t>the previous period</w:t>
      </w:r>
      <w:r w:rsidR="001E1A53" w:rsidRPr="00FD5227">
        <w:t xml:space="preserve"> </w:t>
      </w:r>
      <w:r w:rsidR="004C0650" w:rsidRPr="00FD5227">
        <w:t>(</w:t>
      </w:r>
      <w:r w:rsidR="00E8133E" w:rsidRPr="00FD5227">
        <w:t>170</w:t>
      </w:r>
      <w:r w:rsidR="004C0650" w:rsidRPr="00FD5227">
        <w:t xml:space="preserve"> for the previous </w:t>
      </w:r>
      <w:r w:rsidR="00E95904" w:rsidRPr="00FD5227">
        <w:t>period</w:t>
      </w:r>
      <w:r w:rsidR="004C0650" w:rsidRPr="00FD5227">
        <w:t>)</w:t>
      </w:r>
      <w:r w:rsidR="005057B2" w:rsidRPr="00FD5227">
        <w:t>.</w:t>
      </w:r>
    </w:p>
    <w:p w14:paraId="7A51BA66" w14:textId="77777777" w:rsidR="00A161AC" w:rsidRPr="00FD5227" w:rsidRDefault="00A161AC" w:rsidP="00147FCD">
      <w:pPr>
        <w:spacing w:line="240" w:lineRule="auto"/>
        <w:jc w:val="both"/>
        <w:rPr>
          <w:b/>
        </w:rPr>
      </w:pPr>
      <w:r w:rsidRPr="00FD5227">
        <w:rPr>
          <w:b/>
        </w:rPr>
        <w:t>Crude Rates</w:t>
      </w:r>
    </w:p>
    <w:p w14:paraId="2C68D75D" w14:textId="32A2199F" w:rsidR="00F50236" w:rsidRPr="00FD5227" w:rsidRDefault="00F50236" w:rsidP="00111565">
      <w:pPr>
        <w:pStyle w:val="ListParagraph"/>
        <w:spacing w:line="240" w:lineRule="auto"/>
        <w:ind w:left="0"/>
        <w:contextualSpacing w:val="0"/>
        <w:jc w:val="both"/>
      </w:pPr>
      <w:r w:rsidRPr="00FD5227">
        <w:t xml:space="preserve">The crude rate for a site </w:t>
      </w:r>
      <w:proofErr w:type="gramStart"/>
      <w:r w:rsidRPr="00FD5227">
        <w:t>will be affected</w:t>
      </w:r>
      <w:proofErr w:type="gramEnd"/>
      <w:r w:rsidRPr="00FD5227">
        <w:t xml:space="preserve"> by not only the number of deaths but also by the number of admissions at a particular site</w:t>
      </w:r>
      <w:r w:rsidR="00C44BB5" w:rsidRPr="00FD5227">
        <w:t xml:space="preserve">. </w:t>
      </w:r>
      <w:r w:rsidRPr="00FD5227">
        <w:t xml:space="preserve"> The rate</w:t>
      </w:r>
      <w:r w:rsidR="00AC2A2A" w:rsidRPr="00FD5227">
        <w:t xml:space="preserve"> shown</w:t>
      </w:r>
      <w:r w:rsidRPr="00FD5227">
        <w:t xml:space="preserve"> is the actual number of deaths as a percentage of the total patients admitted. The Health Board rate is </w:t>
      </w:r>
      <w:r w:rsidR="00E8133E" w:rsidRPr="00FD5227">
        <w:t>1.66</w:t>
      </w:r>
      <w:r w:rsidR="004D2135" w:rsidRPr="00FD5227">
        <w:t>% (</w:t>
      </w:r>
      <w:r w:rsidR="00E8133E" w:rsidRPr="00FD5227">
        <w:t>June</w:t>
      </w:r>
      <w:r w:rsidR="00ED43D3" w:rsidRPr="00FD5227">
        <w:t xml:space="preserve"> 2023</w:t>
      </w:r>
      <w:r w:rsidR="00440F9B" w:rsidRPr="00FD5227">
        <w:t xml:space="preserve"> –</w:t>
      </w:r>
      <w:r w:rsidR="007D6783" w:rsidRPr="00FD5227">
        <w:t xml:space="preserve"> rolling 12 month</w:t>
      </w:r>
      <w:r w:rsidR="006E3130" w:rsidRPr="00FD5227">
        <w:t>).</w:t>
      </w:r>
    </w:p>
    <w:p w14:paraId="4D1ACB73" w14:textId="77777777" w:rsidR="00F50236" w:rsidRPr="00FD5227" w:rsidRDefault="00AC2A2A" w:rsidP="00111565">
      <w:pPr>
        <w:spacing w:line="240" w:lineRule="auto"/>
        <w:jc w:val="both"/>
      </w:pPr>
      <w:r w:rsidRPr="00FD5227">
        <w:t>We</w:t>
      </w:r>
      <w:r w:rsidR="00F50236" w:rsidRPr="00FD5227">
        <w:t xml:space="preserve"> monitor the actual number of deaths at all our hospital sites on a monthly basis. This gives an early opportunity to investigate changes in the number of in-hospital deaths.</w:t>
      </w:r>
    </w:p>
    <w:p w14:paraId="17FBCB41" w14:textId="77777777" w:rsidR="00A161AC" w:rsidRPr="00FD5227" w:rsidRDefault="00A161AC" w:rsidP="00111565">
      <w:pPr>
        <w:pStyle w:val="ListParagraph"/>
        <w:spacing w:line="240" w:lineRule="auto"/>
        <w:ind w:left="0"/>
        <w:contextualSpacing w:val="0"/>
        <w:jc w:val="both"/>
      </w:pPr>
      <w:r w:rsidRPr="00FD5227">
        <w:t xml:space="preserve">The crude mortality rates for </w:t>
      </w:r>
      <w:r w:rsidR="001D1118" w:rsidRPr="00FD5227">
        <w:t>the Health Board</w:t>
      </w:r>
      <w:r w:rsidR="001F7B1E" w:rsidRPr="00FD5227">
        <w:t>:</w:t>
      </w:r>
    </w:p>
    <w:p w14:paraId="31B1333D" w14:textId="77777777" w:rsidR="00713CCB" w:rsidRPr="00127DF2" w:rsidRDefault="00713CCB" w:rsidP="00713CCB">
      <w:pPr>
        <w:pStyle w:val="ListParagraph"/>
        <w:ind w:left="0" w:firstLine="720"/>
        <w:contextualSpacing w:val="0"/>
        <w:jc w:val="both"/>
        <w:rPr>
          <w:noProof/>
          <w:u w:val="single"/>
          <w:lang w:eastAsia="en-GB"/>
        </w:rPr>
      </w:pPr>
      <w:r w:rsidRPr="00FD5227">
        <w:rPr>
          <w:noProof/>
          <w:u w:val="single"/>
          <w:lang w:eastAsia="en-GB"/>
        </w:rPr>
        <w:t>Monthly</w:t>
      </w:r>
    </w:p>
    <w:p w14:paraId="76076E98" w14:textId="61ACF3F9" w:rsidR="00713CCB" w:rsidRPr="00C75EA4" w:rsidRDefault="0057547C" w:rsidP="007C0EE5">
      <w:pPr>
        <w:pStyle w:val="ListParagraph"/>
        <w:ind w:left="0"/>
        <w:contextualSpacing w:val="0"/>
        <w:jc w:val="both"/>
        <w:rPr>
          <w:noProof/>
          <w:lang w:eastAsia="en-GB"/>
        </w:rPr>
      </w:pPr>
      <w:r>
        <w:rPr>
          <w:noProof/>
          <w:lang w:eastAsia="en-GB"/>
        </w:rPr>
        <w:drawing>
          <wp:inline distT="0" distB="0" distL="0" distR="0" wp14:anchorId="43188E5E" wp14:editId="2B850CE6">
            <wp:extent cx="5672455" cy="2656115"/>
            <wp:effectExtent l="0" t="0" r="4445"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4"/>
                    <a:stretch>
                      <a:fillRect/>
                    </a:stretch>
                  </pic:blipFill>
                  <pic:spPr>
                    <a:xfrm>
                      <a:off x="0" y="0"/>
                      <a:ext cx="5701616" cy="2669770"/>
                    </a:xfrm>
                    <a:prstGeom prst="rect">
                      <a:avLst/>
                    </a:prstGeom>
                  </pic:spPr>
                </pic:pic>
              </a:graphicData>
            </a:graphic>
          </wp:inline>
        </w:drawing>
      </w:r>
    </w:p>
    <w:p w14:paraId="162AA958" w14:textId="77777777" w:rsidR="00631ED2" w:rsidRDefault="00316574" w:rsidP="00111565">
      <w:pPr>
        <w:pStyle w:val="ListParagraph"/>
        <w:spacing w:line="240" w:lineRule="auto"/>
        <w:ind w:left="0" w:firstLine="720"/>
        <w:contextualSpacing w:val="0"/>
        <w:jc w:val="both"/>
        <w:rPr>
          <w:u w:val="single"/>
        </w:rPr>
      </w:pPr>
      <w:r w:rsidRPr="00FD5227">
        <w:rPr>
          <w:u w:val="single"/>
        </w:rPr>
        <w:t>Rolling 12 M</w:t>
      </w:r>
      <w:r w:rsidR="005C65E4" w:rsidRPr="00FD5227">
        <w:rPr>
          <w:u w:val="single"/>
        </w:rPr>
        <w:t>onth</w:t>
      </w:r>
    </w:p>
    <w:p w14:paraId="7DAF4CA3" w14:textId="27BB2314" w:rsidR="000F71EE" w:rsidRDefault="0057547C" w:rsidP="00340D77">
      <w:pPr>
        <w:jc w:val="both"/>
        <w:rPr>
          <w:u w:val="single"/>
        </w:rPr>
      </w:pPr>
      <w:r>
        <w:rPr>
          <w:noProof/>
          <w:lang w:eastAsia="en-GB"/>
        </w:rPr>
        <w:drawing>
          <wp:inline distT="0" distB="0" distL="0" distR="0" wp14:anchorId="513D8A36" wp14:editId="55DCB576">
            <wp:extent cx="5644515" cy="2455101"/>
            <wp:effectExtent l="0" t="0" r="0" b="254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5"/>
                    <a:stretch>
                      <a:fillRect/>
                    </a:stretch>
                  </pic:blipFill>
                  <pic:spPr>
                    <a:xfrm>
                      <a:off x="0" y="0"/>
                      <a:ext cx="5661458" cy="2462471"/>
                    </a:xfrm>
                    <a:prstGeom prst="rect">
                      <a:avLst/>
                    </a:prstGeom>
                  </pic:spPr>
                </pic:pic>
              </a:graphicData>
            </a:graphic>
          </wp:inline>
        </w:drawing>
      </w:r>
    </w:p>
    <w:p w14:paraId="491C07D8" w14:textId="77777777" w:rsidR="00340D77" w:rsidRPr="00340D77" w:rsidRDefault="00340D77" w:rsidP="00340D77">
      <w:pPr>
        <w:jc w:val="both"/>
        <w:rPr>
          <w:u w:val="single"/>
        </w:rPr>
      </w:pPr>
    </w:p>
    <w:p w14:paraId="5365C268" w14:textId="6B6C0871" w:rsidR="005065F0" w:rsidRDefault="00696382" w:rsidP="00147FCD">
      <w:pPr>
        <w:spacing w:line="240" w:lineRule="auto"/>
        <w:jc w:val="both"/>
        <w:rPr>
          <w:noProof/>
          <w:lang w:eastAsia="en-GB"/>
        </w:rPr>
      </w:pPr>
      <w:r>
        <w:rPr>
          <w:noProof/>
          <w:lang w:eastAsia="en-GB"/>
        </w:rPr>
        <w:lastRenderedPageBreak/>
        <w:drawing>
          <wp:inline distT="0" distB="0" distL="0" distR="0" wp14:anchorId="2A8CC7F8" wp14:editId="24A37D56">
            <wp:extent cx="5627614" cy="2592888"/>
            <wp:effectExtent l="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6"/>
                    <a:stretch>
                      <a:fillRect/>
                    </a:stretch>
                  </pic:blipFill>
                  <pic:spPr>
                    <a:xfrm>
                      <a:off x="0" y="0"/>
                      <a:ext cx="5636715" cy="2597081"/>
                    </a:xfrm>
                    <a:prstGeom prst="rect">
                      <a:avLst/>
                    </a:prstGeom>
                  </pic:spPr>
                </pic:pic>
              </a:graphicData>
            </a:graphic>
          </wp:inline>
        </w:drawing>
      </w:r>
    </w:p>
    <w:p w14:paraId="01E000ED" w14:textId="0F93EEAD" w:rsidR="005065F0" w:rsidRDefault="00696382" w:rsidP="00147FCD">
      <w:pPr>
        <w:spacing w:line="240" w:lineRule="auto"/>
        <w:jc w:val="both"/>
        <w:rPr>
          <w:noProof/>
          <w:lang w:eastAsia="en-GB"/>
        </w:rPr>
      </w:pPr>
      <w:r>
        <w:rPr>
          <w:noProof/>
          <w:lang w:eastAsia="en-GB"/>
        </w:rPr>
        <w:drawing>
          <wp:inline distT="0" distB="0" distL="0" distR="0" wp14:anchorId="393819C5" wp14:editId="3659BDB1">
            <wp:extent cx="5613400" cy="2842895"/>
            <wp:effectExtent l="0" t="0" r="635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7"/>
                    <a:stretch>
                      <a:fillRect/>
                    </a:stretch>
                  </pic:blipFill>
                  <pic:spPr>
                    <a:xfrm>
                      <a:off x="0" y="0"/>
                      <a:ext cx="5633336" cy="2852992"/>
                    </a:xfrm>
                    <a:prstGeom prst="rect">
                      <a:avLst/>
                    </a:prstGeom>
                  </pic:spPr>
                </pic:pic>
              </a:graphicData>
            </a:graphic>
          </wp:inline>
        </w:drawing>
      </w:r>
    </w:p>
    <w:p w14:paraId="09904238" w14:textId="756E1AF8" w:rsidR="00724E99" w:rsidRDefault="00696382" w:rsidP="00147FCD">
      <w:pPr>
        <w:spacing w:line="240" w:lineRule="auto"/>
        <w:jc w:val="both"/>
        <w:rPr>
          <w:noProof/>
          <w:lang w:eastAsia="en-GB"/>
        </w:rPr>
      </w:pPr>
      <w:r>
        <w:rPr>
          <w:noProof/>
          <w:lang w:eastAsia="en-GB"/>
        </w:rPr>
        <w:drawing>
          <wp:inline distT="0" distB="0" distL="0" distR="0" wp14:anchorId="1C0D9661" wp14:editId="5919180E">
            <wp:extent cx="5613400" cy="2705622"/>
            <wp:effectExtent l="0" t="0" r="6350" b="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8"/>
                    <a:stretch>
                      <a:fillRect/>
                    </a:stretch>
                  </pic:blipFill>
                  <pic:spPr>
                    <a:xfrm>
                      <a:off x="0" y="0"/>
                      <a:ext cx="5624004" cy="2710733"/>
                    </a:xfrm>
                    <a:prstGeom prst="rect">
                      <a:avLst/>
                    </a:prstGeom>
                  </pic:spPr>
                </pic:pic>
              </a:graphicData>
            </a:graphic>
          </wp:inline>
        </w:drawing>
      </w:r>
    </w:p>
    <w:p w14:paraId="7E4901B5" w14:textId="77777777" w:rsidR="00D25FFF" w:rsidRDefault="00D25FFF" w:rsidP="00111565">
      <w:pPr>
        <w:spacing w:after="0" w:line="240" w:lineRule="auto"/>
        <w:rPr>
          <w:b/>
        </w:rPr>
      </w:pPr>
    </w:p>
    <w:p w14:paraId="51D389C2" w14:textId="77777777" w:rsidR="00D25FFF" w:rsidRDefault="00D25FFF" w:rsidP="00111565">
      <w:pPr>
        <w:spacing w:after="0" w:line="240" w:lineRule="auto"/>
        <w:rPr>
          <w:b/>
        </w:rPr>
      </w:pPr>
    </w:p>
    <w:p w14:paraId="3B58C2B3" w14:textId="77777777" w:rsidR="00A161AC" w:rsidRPr="00FD5227" w:rsidRDefault="00A161AC" w:rsidP="00111565">
      <w:pPr>
        <w:spacing w:after="0" w:line="240" w:lineRule="auto"/>
        <w:rPr>
          <w:b/>
        </w:rPr>
      </w:pPr>
      <w:r w:rsidRPr="00FD5227">
        <w:rPr>
          <w:b/>
        </w:rPr>
        <w:t>Condition Specific</w:t>
      </w:r>
    </w:p>
    <w:p w14:paraId="57322418" w14:textId="77777777" w:rsidR="00724E99" w:rsidRPr="00FD5227" w:rsidRDefault="00A161AC" w:rsidP="00111565">
      <w:pPr>
        <w:pStyle w:val="ListParagraph"/>
        <w:spacing w:before="240" w:line="240" w:lineRule="auto"/>
        <w:ind w:left="0"/>
        <w:contextualSpacing w:val="0"/>
        <w:jc w:val="both"/>
      </w:pPr>
      <w:r w:rsidRPr="00FD5227">
        <w:t xml:space="preserve">These measures focus on the deaths within 30 days of admission for </w:t>
      </w:r>
      <w:proofErr w:type="gramStart"/>
      <w:r w:rsidRPr="00FD5227">
        <w:t>3</w:t>
      </w:r>
      <w:proofErr w:type="gramEnd"/>
      <w:r w:rsidRPr="00FD5227">
        <w:t xml:space="preserve"> specific conditions with </w:t>
      </w:r>
      <w:r w:rsidR="002E1DF6" w:rsidRPr="00FD5227">
        <w:t>well-defined</w:t>
      </w:r>
      <w:r w:rsidR="00147FCD" w:rsidRPr="00FD5227">
        <w:t xml:space="preserve"> clinical pathways.</w:t>
      </w:r>
    </w:p>
    <w:p w14:paraId="399F891B" w14:textId="77777777" w:rsidR="00724E99" w:rsidRDefault="00AB4E28" w:rsidP="00147FCD">
      <w:pPr>
        <w:pStyle w:val="ListParagraph"/>
        <w:spacing w:line="240" w:lineRule="auto"/>
        <w:ind w:left="0" w:firstLine="720"/>
        <w:contextualSpacing w:val="0"/>
        <w:jc w:val="both"/>
        <w:rPr>
          <w:b/>
        </w:rPr>
      </w:pPr>
      <w:r w:rsidRPr="00FD5227">
        <w:rPr>
          <w:b/>
        </w:rPr>
        <w:t xml:space="preserve">Hip </w:t>
      </w:r>
      <w:r w:rsidR="00A829A2" w:rsidRPr="00FD5227">
        <w:rPr>
          <w:b/>
        </w:rPr>
        <w:t>F</w:t>
      </w:r>
      <w:r w:rsidRPr="00FD5227">
        <w:rPr>
          <w:b/>
        </w:rPr>
        <w:t>racture</w:t>
      </w:r>
    </w:p>
    <w:p w14:paraId="385BA93A" w14:textId="1813EDCE" w:rsidR="00FE1DD3" w:rsidRPr="00FE1DD3" w:rsidRDefault="001D4EE8" w:rsidP="00FE1DD3">
      <w:pPr>
        <w:spacing w:line="240" w:lineRule="auto"/>
        <w:jc w:val="both"/>
        <w:rPr>
          <w:b/>
        </w:rPr>
      </w:pPr>
      <w:r>
        <w:rPr>
          <w:noProof/>
          <w:lang w:eastAsia="en-GB"/>
        </w:rPr>
        <w:drawing>
          <wp:inline distT="0" distB="0" distL="0" distR="0" wp14:anchorId="4F96ACF6" wp14:editId="5D15DD20">
            <wp:extent cx="5731510" cy="2116455"/>
            <wp:effectExtent l="0" t="0" r="254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9"/>
                    <a:stretch>
                      <a:fillRect/>
                    </a:stretch>
                  </pic:blipFill>
                  <pic:spPr>
                    <a:xfrm>
                      <a:off x="0" y="0"/>
                      <a:ext cx="5731510" cy="2116455"/>
                    </a:xfrm>
                    <a:prstGeom prst="rect">
                      <a:avLst/>
                    </a:prstGeom>
                  </pic:spPr>
                </pic:pic>
              </a:graphicData>
            </a:graphic>
          </wp:inline>
        </w:drawing>
      </w:r>
    </w:p>
    <w:p w14:paraId="2F77D66F" w14:textId="3FF292DB" w:rsidR="00505F7D" w:rsidRPr="00FD5227" w:rsidRDefault="00505F7D" w:rsidP="00505F7D">
      <w:r w:rsidRPr="00331A62">
        <w:t xml:space="preserve">The Health Board rate of </w:t>
      </w:r>
      <w:r w:rsidRPr="00331A62">
        <w:rPr>
          <w:lang w:val="en-US"/>
        </w:rPr>
        <w:t xml:space="preserve">death in hospital within 30 days of emergency admission with a hip fracture for </w:t>
      </w:r>
      <w:r w:rsidRPr="00FD5227">
        <w:rPr>
          <w:lang w:val="en-US"/>
        </w:rPr>
        <w:t>patients over the age of 64</w:t>
      </w:r>
      <w:r w:rsidR="002062E0" w:rsidRPr="00FD5227">
        <w:t xml:space="preserve"> is 3.14</w:t>
      </w:r>
      <w:r w:rsidRPr="00FD5227">
        <w:rPr>
          <w:b/>
          <w:bCs/>
        </w:rPr>
        <w:t>%</w:t>
      </w:r>
      <w:r w:rsidRPr="00FD5227">
        <w:t xml:space="preserve"> for the rolling 12 months to </w:t>
      </w:r>
      <w:r w:rsidR="002062E0" w:rsidRPr="00FD5227">
        <w:rPr>
          <w:color w:val="000000" w:themeColor="text1"/>
        </w:rPr>
        <w:t>March 2023</w:t>
      </w:r>
      <w:r w:rsidRPr="00FD5227">
        <w:t xml:space="preserve">, which is </w:t>
      </w:r>
      <w:r w:rsidR="006D6F38" w:rsidRPr="00FD5227">
        <w:t xml:space="preserve">below </w:t>
      </w:r>
      <w:r w:rsidRPr="00FD5227">
        <w:t>the Welsh average (</w:t>
      </w:r>
      <w:r w:rsidR="002062E0" w:rsidRPr="00FD5227">
        <w:t>5.18</w:t>
      </w:r>
      <w:r w:rsidRPr="00FD5227">
        <w:t xml:space="preserve">%). However, data from the national hip fracture database shows Swansea Bay HB’s crude mortality rate following hip fracture is </w:t>
      </w:r>
      <w:r w:rsidR="002062E0" w:rsidRPr="00FD5227">
        <w:t>6</w:t>
      </w:r>
      <w:r w:rsidRPr="00FD5227">
        <w:t xml:space="preserve">.7%; </w:t>
      </w:r>
      <w:proofErr w:type="spellStart"/>
      <w:r w:rsidRPr="00FD5227">
        <w:t>c</w:t>
      </w:r>
      <w:r w:rsidR="00446B05" w:rsidRPr="00FD5227">
        <w:t>asemix</w:t>
      </w:r>
      <w:proofErr w:type="spellEnd"/>
      <w:r w:rsidR="00446B05" w:rsidRPr="00FD5227">
        <w:t>-adjusted mortality is 5.6</w:t>
      </w:r>
      <w:r w:rsidRPr="00FD5227">
        <w:t xml:space="preserve">%, both </w:t>
      </w:r>
      <w:r w:rsidRPr="00FD5227">
        <w:rPr>
          <w:lang w:val="en-US"/>
        </w:rPr>
        <w:t>within 1 standard deviation</w:t>
      </w:r>
      <w:r w:rsidR="00446B05" w:rsidRPr="00FD5227">
        <w:rPr>
          <w:lang w:val="en-US"/>
        </w:rPr>
        <w:t xml:space="preserve"> of the UK national average (6</w:t>
      </w:r>
      <w:r w:rsidRPr="00FD5227">
        <w:rPr>
          <w:lang w:val="en-US"/>
        </w:rPr>
        <w:t xml:space="preserve">%). </w:t>
      </w:r>
      <w:r w:rsidR="00134CA2" w:rsidRPr="00FD5227">
        <w:t>The Health Board is</w:t>
      </w:r>
      <w:r w:rsidRPr="00FD5227">
        <w:t xml:space="preserve"> exploring options to continue to make improvements to the broken hip (“Fracture Neck of Femur”) pathway and further reduce mortality figures by ensuring there is comprehensive geriatric cover for this elderly and frail patient population. </w:t>
      </w:r>
      <w:r w:rsidR="00134CA2" w:rsidRPr="00FD5227">
        <w:t xml:space="preserve">However, we are concerned about delays to undertaking timely procedures and the service is exploring all options to address this.  </w:t>
      </w:r>
      <w:r w:rsidRPr="00FD5227">
        <w:t>We continue to improve the "falls" pathway.</w:t>
      </w:r>
    </w:p>
    <w:p w14:paraId="236A3B4A" w14:textId="77777777" w:rsidR="00CE7B47" w:rsidRDefault="00CE7B47" w:rsidP="000519BD">
      <w:pPr>
        <w:spacing w:line="240" w:lineRule="auto"/>
        <w:ind w:left="720"/>
        <w:jc w:val="both"/>
        <w:rPr>
          <w:b/>
        </w:rPr>
      </w:pPr>
      <w:r w:rsidRPr="00FD5227">
        <w:rPr>
          <w:b/>
        </w:rPr>
        <w:t>Stroke</w:t>
      </w:r>
    </w:p>
    <w:p w14:paraId="3D714CFE" w14:textId="0D22A698" w:rsidR="00CE7B47" w:rsidRDefault="001D4EE8" w:rsidP="00CE7B47">
      <w:pPr>
        <w:spacing w:line="240" w:lineRule="auto"/>
        <w:jc w:val="both"/>
      </w:pPr>
      <w:r>
        <w:rPr>
          <w:noProof/>
          <w:lang w:eastAsia="en-GB"/>
        </w:rPr>
        <w:drawing>
          <wp:inline distT="0" distB="0" distL="0" distR="0" wp14:anchorId="055DDC08" wp14:editId="61D1D666">
            <wp:extent cx="5731510" cy="2062480"/>
            <wp:effectExtent l="0" t="0" r="2540" b="1397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EA36E36" w14:textId="09F0D6B9" w:rsidR="00CE7B47" w:rsidRPr="00331A62" w:rsidRDefault="00CE7B47" w:rsidP="00CE7B47">
      <w:pPr>
        <w:pStyle w:val="ListParagraph"/>
        <w:spacing w:line="240" w:lineRule="auto"/>
        <w:ind w:left="0"/>
        <w:contextualSpacing w:val="0"/>
        <w:jc w:val="both"/>
        <w:rPr>
          <w:b/>
        </w:rPr>
      </w:pPr>
      <w:r w:rsidRPr="00331A62">
        <w:t xml:space="preserve">The </w:t>
      </w:r>
      <w:r w:rsidRPr="00FD5227">
        <w:t xml:space="preserve">Health Board rate </w:t>
      </w:r>
      <w:r w:rsidRPr="00FD5227">
        <w:rPr>
          <w:lang w:val="en-US"/>
        </w:rPr>
        <w:t xml:space="preserve">of deaths in hospital within 30 days of emergency admission with a stroke </w:t>
      </w:r>
      <w:r w:rsidR="001826A1" w:rsidRPr="00FD5227">
        <w:rPr>
          <w:lang w:val="en-US"/>
        </w:rPr>
        <w:t>10.1</w:t>
      </w:r>
      <w:r w:rsidRPr="00FD5227">
        <w:t xml:space="preserve">% for the rolling 12 months to </w:t>
      </w:r>
      <w:r w:rsidR="001826A1" w:rsidRPr="00FD5227">
        <w:t>March 2023</w:t>
      </w:r>
      <w:r w:rsidRPr="00FD5227">
        <w:t xml:space="preserve">, the Welsh average is </w:t>
      </w:r>
      <w:r w:rsidR="001826A1" w:rsidRPr="00FD5227">
        <w:t>12.91</w:t>
      </w:r>
      <w:r w:rsidRPr="00FD5227">
        <w:t>%.</w:t>
      </w:r>
      <w:r w:rsidRPr="00331A62">
        <w:t xml:space="preserve"> </w:t>
      </w:r>
    </w:p>
    <w:p w14:paraId="1EC7E177" w14:textId="77777777" w:rsidR="009F1793" w:rsidRPr="00331A62" w:rsidRDefault="00CE7B47" w:rsidP="009B2AD9">
      <w:pPr>
        <w:jc w:val="both"/>
      </w:pPr>
      <w:r w:rsidRPr="00331A62">
        <w:lastRenderedPageBreak/>
        <w:t>A multi-disciplinary group of specialist stroke doctors, clinical nurse sp</w:t>
      </w:r>
      <w:r w:rsidR="00EF0D88" w:rsidRPr="00331A62">
        <w:t xml:space="preserve">ecialists, therapists </w:t>
      </w:r>
      <w:r w:rsidRPr="00331A62">
        <w:t xml:space="preserve">and managers within the Health Board meets regularly with the aim of continually improving the delivery of stroke services </w:t>
      </w:r>
      <w:r w:rsidR="009F1793" w:rsidRPr="00331A62">
        <w:t xml:space="preserve"> so </w:t>
      </w:r>
      <w:r w:rsidRPr="00331A62">
        <w:t>m</w:t>
      </w:r>
      <w:r w:rsidR="009F1793" w:rsidRPr="00331A62">
        <w:t>ore patients regain</w:t>
      </w:r>
      <w:r w:rsidR="00634E66" w:rsidRPr="00331A62">
        <w:t xml:space="preserve"> good</w:t>
      </w:r>
      <w:r w:rsidR="009F1793" w:rsidRPr="00331A62">
        <w:t xml:space="preserve"> </w:t>
      </w:r>
      <w:r w:rsidRPr="00331A62">
        <w:t>quality, independent lives following a stroke. </w:t>
      </w:r>
    </w:p>
    <w:p w14:paraId="75214F85" w14:textId="77777777" w:rsidR="00BA076D" w:rsidRPr="00634E66" w:rsidRDefault="00353C91" w:rsidP="00634E66">
      <w:pPr>
        <w:ind w:firstLine="720"/>
        <w:jc w:val="both"/>
        <w:rPr>
          <w:b/>
        </w:rPr>
      </w:pPr>
      <w:r w:rsidRPr="00FD5227">
        <w:rPr>
          <w:b/>
        </w:rPr>
        <w:t>Heart Attack</w:t>
      </w:r>
    </w:p>
    <w:p w14:paraId="567E18BD" w14:textId="2F72610D" w:rsidR="00664D76" w:rsidRPr="00A77247" w:rsidRDefault="001D4EE8" w:rsidP="00A77247">
      <w:pPr>
        <w:spacing w:line="240" w:lineRule="auto"/>
        <w:jc w:val="both"/>
        <w:rPr>
          <w:b/>
        </w:rPr>
      </w:pPr>
      <w:r>
        <w:rPr>
          <w:noProof/>
          <w:lang w:eastAsia="en-GB"/>
        </w:rPr>
        <w:drawing>
          <wp:inline distT="0" distB="0" distL="0" distR="0" wp14:anchorId="2BE2A0DE" wp14:editId="03B959B0">
            <wp:extent cx="5731510" cy="2435225"/>
            <wp:effectExtent l="0" t="0" r="2540" b="317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E87EA92" w14:textId="11E2C1A8" w:rsidR="005867D8" w:rsidRPr="00B26521" w:rsidRDefault="00353C91" w:rsidP="00111565">
      <w:pPr>
        <w:pStyle w:val="ListParagraph"/>
        <w:spacing w:line="240" w:lineRule="auto"/>
        <w:ind w:left="0"/>
        <w:contextualSpacing w:val="0"/>
        <w:jc w:val="both"/>
        <w:rPr>
          <w:sz w:val="10"/>
          <w:szCs w:val="10"/>
        </w:rPr>
      </w:pPr>
      <w:r w:rsidRPr="00331A62">
        <w:t xml:space="preserve">The Health Board rate </w:t>
      </w:r>
      <w:r w:rsidRPr="00331A62">
        <w:rPr>
          <w:lang w:val="en-US"/>
        </w:rPr>
        <w:t xml:space="preserve">of death in hospital within 30 days of emergency admission with a heart attack (MI) aged </w:t>
      </w:r>
      <w:r w:rsidRPr="00FD5227">
        <w:rPr>
          <w:lang w:val="en-US"/>
        </w:rPr>
        <w:t xml:space="preserve">35 to 74 </w:t>
      </w:r>
      <w:r w:rsidRPr="00FD5227">
        <w:t xml:space="preserve">is </w:t>
      </w:r>
      <w:r w:rsidR="008A4319" w:rsidRPr="00FD5227">
        <w:t>4.68</w:t>
      </w:r>
      <w:r w:rsidRPr="00FD5227">
        <w:t>%</w:t>
      </w:r>
      <w:r w:rsidR="008D6A44" w:rsidRPr="00FD5227">
        <w:t xml:space="preserve"> for the rolling 12 months to </w:t>
      </w:r>
      <w:r w:rsidR="008A4319" w:rsidRPr="00FD5227">
        <w:t>March 2023</w:t>
      </w:r>
      <w:r w:rsidRPr="00FD5227">
        <w:t xml:space="preserve">, which is </w:t>
      </w:r>
      <w:r w:rsidR="00B4248C" w:rsidRPr="00FD5227">
        <w:t xml:space="preserve">higher than </w:t>
      </w:r>
      <w:r w:rsidRPr="00FD5227">
        <w:t>the Welsh average</w:t>
      </w:r>
      <w:r w:rsidR="00B4248C" w:rsidRPr="00FD5227">
        <w:t xml:space="preserve"> </w:t>
      </w:r>
      <w:r w:rsidR="003C0624" w:rsidRPr="00FD5227">
        <w:t xml:space="preserve">of </w:t>
      </w:r>
      <w:r w:rsidR="008A4319" w:rsidRPr="00FD5227">
        <w:t>3.79</w:t>
      </w:r>
      <w:r w:rsidR="00B4248C" w:rsidRPr="00FD5227">
        <w:t>%</w:t>
      </w:r>
      <w:r w:rsidR="00F262EF" w:rsidRPr="00FD5227">
        <w:t>.</w:t>
      </w:r>
      <w:r w:rsidRPr="00B26521">
        <w:t xml:space="preserve"> </w:t>
      </w:r>
    </w:p>
    <w:p w14:paraId="7F3EA9B1" w14:textId="77777777" w:rsidR="001C7752" w:rsidRDefault="001C7752" w:rsidP="00111565">
      <w:pPr>
        <w:spacing w:line="240" w:lineRule="auto"/>
        <w:jc w:val="both"/>
      </w:pPr>
      <w:r w:rsidRPr="00B26521">
        <w:t>In Wales, patients who are having heart attacks</w:t>
      </w:r>
      <w:r w:rsidRPr="00FF4751">
        <w:t xml:space="preserve"> </w:t>
      </w:r>
      <w:proofErr w:type="gramStart"/>
      <w:r w:rsidRPr="00FF4751">
        <w:t>are transferred</w:t>
      </w:r>
      <w:proofErr w:type="gramEnd"/>
      <w:r w:rsidRPr="00FF4751">
        <w:t xml:space="preserve"> directly</w:t>
      </w:r>
      <w:r w:rsidR="00B57985" w:rsidRPr="00FF4751">
        <w:t xml:space="preserve"> from the community</w:t>
      </w:r>
      <w:r w:rsidRPr="00FF4751">
        <w:t xml:space="preserve"> to a ‘heart attack centre’ so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14:paraId="2200F685" w14:textId="77777777"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w:t>
      </w:r>
      <w:proofErr w:type="gramStart"/>
      <w:r w:rsidR="001C7752" w:rsidRPr="001C7752">
        <w:t>is provided</w:t>
      </w:r>
      <w:proofErr w:type="gramEnd"/>
      <w:r w:rsidR="001C7752" w:rsidRPr="001C7752">
        <w:t xml:space="preserve">.  Those hospitals that no longer provide emergency treatment </w:t>
      </w:r>
      <w:r w:rsidR="00EC505C">
        <w:t xml:space="preserve">for </w:t>
      </w:r>
      <w:r w:rsidR="001C7752" w:rsidRPr="001C7752">
        <w:t xml:space="preserve">heart attacks </w:t>
      </w:r>
      <w:proofErr w:type="gramStart"/>
      <w:r w:rsidR="001C7752" w:rsidRPr="001C7752">
        <w:t>will be expected</w:t>
      </w:r>
      <w:proofErr w:type="gramEnd"/>
      <w:r w:rsidR="001C7752" w:rsidRPr="001C7752">
        <w:t xml:space="preserve"> to have lower mortality rates since the remaining population will be </w:t>
      </w:r>
      <w:r w:rsidR="00B57985">
        <w:t xml:space="preserve">less sick and therefore </w:t>
      </w:r>
      <w:r w:rsidR="001C7752" w:rsidRPr="001C7752">
        <w:t>at much lower risk of dying.</w:t>
      </w:r>
      <w:r w:rsidR="005D399B">
        <w:t xml:space="preserve"> </w:t>
      </w:r>
    </w:p>
    <w:p w14:paraId="19FE12AD" w14:textId="77777777"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 xml:space="preserve">to </w:t>
      </w:r>
      <w:proofErr w:type="gramStart"/>
      <w:r w:rsidR="001C7752">
        <w:t>be interpreted</w:t>
      </w:r>
      <w:proofErr w:type="gramEnd"/>
      <w:r w:rsidR="001C7752">
        <w:t xml:space="preserve"> with caution.</w:t>
      </w:r>
      <w:r w:rsidR="008F51EA">
        <w:rPr>
          <w:b/>
        </w:rPr>
        <w:br w:type="page"/>
      </w:r>
    </w:p>
    <w:p w14:paraId="431F3FD4" w14:textId="77777777" w:rsidR="00F664DB" w:rsidRPr="00FD5227" w:rsidRDefault="0086759E" w:rsidP="00111565">
      <w:pPr>
        <w:spacing w:line="240" w:lineRule="auto"/>
        <w:jc w:val="both"/>
      </w:pPr>
      <w:r w:rsidRPr="00FD5227">
        <w:rPr>
          <w:b/>
        </w:rPr>
        <w:lastRenderedPageBreak/>
        <w:t>Rates of deaths within 30 days of surgery</w:t>
      </w:r>
    </w:p>
    <w:p w14:paraId="20E07EB6" w14:textId="5C7FC97D" w:rsidR="00F664DB" w:rsidRPr="00FD5227" w:rsidRDefault="00F664DB" w:rsidP="00111565">
      <w:pPr>
        <w:spacing w:line="240" w:lineRule="auto"/>
        <w:jc w:val="both"/>
      </w:pPr>
      <w:r w:rsidRPr="00FD5227">
        <w:t>These measures focus on the patients who died in hospital within 30 days of a surgical procedure.</w:t>
      </w:r>
    </w:p>
    <w:p w14:paraId="5F69C5A9" w14:textId="77777777" w:rsidR="00DB0466" w:rsidRDefault="0086759E" w:rsidP="00147FCD">
      <w:pPr>
        <w:ind w:left="568"/>
        <w:jc w:val="both"/>
        <w:rPr>
          <w:b/>
        </w:rPr>
      </w:pPr>
      <w:r w:rsidRPr="00FD5227">
        <w:rPr>
          <w:b/>
        </w:rPr>
        <w:t xml:space="preserve"> Elective</w:t>
      </w:r>
      <w:r w:rsidR="00F664DB" w:rsidRPr="00FD5227">
        <w:rPr>
          <w:b/>
        </w:rPr>
        <w:t xml:space="preserve"> Surgery</w:t>
      </w:r>
    </w:p>
    <w:p w14:paraId="77D0D16A" w14:textId="53906035" w:rsidR="005E1F6D" w:rsidRDefault="00C82E39" w:rsidP="005E1F6D">
      <w:pPr>
        <w:jc w:val="both"/>
        <w:rPr>
          <w:b/>
        </w:rPr>
      </w:pPr>
      <w:r>
        <w:rPr>
          <w:noProof/>
          <w:lang w:eastAsia="en-GB"/>
        </w:rPr>
        <w:drawing>
          <wp:inline distT="0" distB="0" distL="0" distR="0" wp14:anchorId="64C7AB77" wp14:editId="0D51DA24">
            <wp:extent cx="5731510" cy="2712720"/>
            <wp:effectExtent l="0" t="0" r="254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22"/>
                    <a:stretch>
                      <a:fillRect/>
                    </a:stretch>
                  </pic:blipFill>
                  <pic:spPr>
                    <a:xfrm>
                      <a:off x="0" y="0"/>
                      <a:ext cx="5731510" cy="2712720"/>
                    </a:xfrm>
                    <a:prstGeom prst="rect">
                      <a:avLst/>
                    </a:prstGeom>
                  </pic:spPr>
                </pic:pic>
              </a:graphicData>
            </a:graphic>
          </wp:inline>
        </w:drawing>
      </w:r>
    </w:p>
    <w:p w14:paraId="20FEB45D" w14:textId="7EAC0D9D" w:rsidR="00F664DB" w:rsidRPr="00FD5227" w:rsidRDefault="00EE6B6B" w:rsidP="00111565">
      <w:pPr>
        <w:spacing w:line="240" w:lineRule="auto"/>
        <w:jc w:val="both"/>
      </w:pPr>
      <w:r w:rsidRPr="00FD5227">
        <w:t>T</w:t>
      </w:r>
      <w:r w:rsidR="00F664DB" w:rsidRPr="00FD5227">
        <w:t>he</w:t>
      </w:r>
      <w:r w:rsidR="008C1294" w:rsidRPr="00FD5227">
        <w:t xml:space="preserve"> rate of deaths within 30 days for </w:t>
      </w:r>
      <w:r w:rsidR="00F664DB" w:rsidRPr="00FD5227">
        <w:t>elective surgery</w:t>
      </w:r>
      <w:r w:rsidR="008C1294" w:rsidRPr="00FD5227">
        <w:t xml:space="preserve"> cases for</w:t>
      </w:r>
      <w:r w:rsidR="00F664DB" w:rsidRPr="00FD5227">
        <w:t xml:space="preserve"> </w:t>
      </w:r>
      <w:r w:rsidR="00D831F8" w:rsidRPr="00FD5227">
        <w:t>SB</w:t>
      </w:r>
      <w:r w:rsidR="00F664DB" w:rsidRPr="00FD5227">
        <w:t>U</w:t>
      </w:r>
      <w:r w:rsidR="008C1294" w:rsidRPr="00FD5227">
        <w:t xml:space="preserve"> HB </w:t>
      </w:r>
      <w:r w:rsidR="00F664DB" w:rsidRPr="00FD5227">
        <w:t xml:space="preserve">is </w:t>
      </w:r>
      <w:r w:rsidR="00DB0466" w:rsidRPr="00FD5227">
        <w:t>0.</w:t>
      </w:r>
      <w:r w:rsidR="000557D1" w:rsidRPr="00FD5227">
        <w:t>23</w:t>
      </w:r>
      <w:r w:rsidR="00F664DB" w:rsidRPr="00FD5227">
        <w:t>%</w:t>
      </w:r>
      <w:r w:rsidR="00056822" w:rsidRPr="00FD5227">
        <w:t>,</w:t>
      </w:r>
      <w:r w:rsidR="005F2FAC" w:rsidRPr="00FD5227">
        <w:t xml:space="preserve"> the A</w:t>
      </w:r>
      <w:r w:rsidR="00F664DB" w:rsidRPr="00FD5227">
        <w:t>ll Wales average</w:t>
      </w:r>
      <w:r w:rsidR="00375CF7" w:rsidRPr="00FD5227">
        <w:t xml:space="preserve"> </w:t>
      </w:r>
      <w:r w:rsidR="005F2FAC" w:rsidRPr="00FD5227">
        <w:t xml:space="preserve">is </w:t>
      </w:r>
      <w:r w:rsidR="001B515A" w:rsidRPr="00FD5227">
        <w:t>0.</w:t>
      </w:r>
      <w:r w:rsidR="000557D1" w:rsidRPr="00FD5227">
        <w:t>16</w:t>
      </w:r>
      <w:r w:rsidR="00375CF7" w:rsidRPr="00FD5227">
        <w:t>%</w:t>
      </w:r>
      <w:r w:rsidR="00056822" w:rsidRPr="00FD5227">
        <w:t>.</w:t>
      </w:r>
      <w:r w:rsidR="00126ADC" w:rsidRPr="00FD5227">
        <w:t xml:space="preserve"> </w:t>
      </w:r>
    </w:p>
    <w:p w14:paraId="665A1A24" w14:textId="77777777" w:rsidR="00DB0466" w:rsidRDefault="0086759E" w:rsidP="00147FCD">
      <w:pPr>
        <w:ind w:firstLine="720"/>
        <w:jc w:val="both"/>
        <w:rPr>
          <w:b/>
        </w:rPr>
      </w:pPr>
      <w:r w:rsidRPr="00FD5227">
        <w:rPr>
          <w:b/>
        </w:rPr>
        <w:t>Emergency</w:t>
      </w:r>
      <w:r w:rsidR="00DB0466" w:rsidRPr="00FD5227">
        <w:rPr>
          <w:b/>
        </w:rPr>
        <w:t xml:space="preserve"> Surgery</w:t>
      </w:r>
    </w:p>
    <w:p w14:paraId="29A9C66C" w14:textId="1065E418" w:rsidR="00C504EE" w:rsidRDefault="00C82E39" w:rsidP="00C504EE">
      <w:pPr>
        <w:jc w:val="both"/>
        <w:rPr>
          <w:b/>
        </w:rPr>
      </w:pPr>
      <w:r>
        <w:rPr>
          <w:noProof/>
          <w:lang w:eastAsia="en-GB"/>
        </w:rPr>
        <w:drawing>
          <wp:inline distT="0" distB="0" distL="0" distR="0" wp14:anchorId="2FEC2E48" wp14:editId="6E6CDEE3">
            <wp:extent cx="5731510" cy="2710815"/>
            <wp:effectExtent l="0" t="0" r="254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23"/>
                    <a:stretch>
                      <a:fillRect/>
                    </a:stretch>
                  </pic:blipFill>
                  <pic:spPr>
                    <a:xfrm>
                      <a:off x="0" y="0"/>
                      <a:ext cx="5731510" cy="2710815"/>
                    </a:xfrm>
                    <a:prstGeom prst="rect">
                      <a:avLst/>
                    </a:prstGeom>
                  </pic:spPr>
                </pic:pic>
              </a:graphicData>
            </a:graphic>
          </wp:inline>
        </w:drawing>
      </w:r>
    </w:p>
    <w:p w14:paraId="712DF3EC" w14:textId="523F9D8B" w:rsidR="008F51EA" w:rsidRPr="00B44FA7" w:rsidRDefault="00AF5358" w:rsidP="00111565">
      <w:pPr>
        <w:spacing w:line="240" w:lineRule="auto"/>
        <w:jc w:val="both"/>
      </w:pPr>
      <w:r w:rsidRPr="00331A62">
        <w:t xml:space="preserve">SBUHB has lower deaths for non-elective surgery than the Welsh average. This has improved over the years and is </w:t>
      </w:r>
      <w:r w:rsidRPr="00FD5227">
        <w:t>currently</w:t>
      </w:r>
      <w:r w:rsidR="00F02F83" w:rsidRPr="00FD5227">
        <w:t xml:space="preserve"> 1.39</w:t>
      </w:r>
      <w:r w:rsidR="00AA07B5" w:rsidRPr="00FD5227">
        <w:t xml:space="preserve">%, </w:t>
      </w:r>
      <w:r w:rsidR="008C1294" w:rsidRPr="00FD5227">
        <w:t>the</w:t>
      </w:r>
      <w:r w:rsidR="0065519C" w:rsidRPr="00FD5227">
        <w:t xml:space="preserve"> </w:t>
      </w:r>
      <w:r w:rsidR="008C1294" w:rsidRPr="00FD5227">
        <w:t>All Wales average</w:t>
      </w:r>
      <w:r w:rsidR="004C7451" w:rsidRPr="00FD5227">
        <w:t xml:space="preserve"> is 1.</w:t>
      </w:r>
      <w:r w:rsidR="00F02F83" w:rsidRPr="00FD5227">
        <w:t>84</w:t>
      </w:r>
      <w:r w:rsidR="00DB0466" w:rsidRPr="00FD5227">
        <w:t>%</w:t>
      </w:r>
      <w:r w:rsidR="008C1294" w:rsidRPr="00FD5227">
        <w:t>.</w:t>
      </w:r>
      <w:r w:rsidR="006B2EE7" w:rsidRPr="00FD5227">
        <w:t xml:space="preserve">  It </w:t>
      </w:r>
      <w:proofErr w:type="gramStart"/>
      <w:r w:rsidR="006B2EE7" w:rsidRPr="00FD5227">
        <w:t>should be noted</w:t>
      </w:r>
      <w:proofErr w:type="gramEnd"/>
      <w:r w:rsidR="006B2EE7" w:rsidRPr="00FD5227">
        <w:t xml:space="preserve"> that Morriston hospital is the major trauma centre for South West </w:t>
      </w:r>
      <w:r w:rsidR="008162AA" w:rsidRPr="00FD5227">
        <w:t>Wales and</w:t>
      </w:r>
      <w:r w:rsidR="006B2EE7" w:rsidRPr="00FD5227">
        <w:t xml:space="preserve"> accepts emergencies into its tertiary services from neighbouring Health Boards.</w:t>
      </w:r>
    </w:p>
    <w:p w14:paraId="0AF3AB02" w14:textId="77777777" w:rsidR="00A667E0" w:rsidRPr="00B44FA7" w:rsidRDefault="00A667E0">
      <w:pPr>
        <w:spacing w:after="0" w:line="240" w:lineRule="auto"/>
        <w:rPr>
          <w:b/>
        </w:rPr>
      </w:pPr>
      <w:r w:rsidRPr="00B44FA7">
        <w:rPr>
          <w:b/>
        </w:rPr>
        <w:br w:type="page"/>
      </w:r>
    </w:p>
    <w:p w14:paraId="40F43262" w14:textId="77777777" w:rsidR="00651BFF" w:rsidRPr="00FF4751" w:rsidRDefault="00F831EA" w:rsidP="00321A68">
      <w:pPr>
        <w:spacing w:after="0" w:line="240" w:lineRule="auto"/>
        <w:rPr>
          <w:b/>
        </w:rPr>
      </w:pPr>
      <w:r w:rsidRPr="00FD5227">
        <w:rPr>
          <w:b/>
        </w:rPr>
        <w:lastRenderedPageBreak/>
        <w:t>Accident &amp; Emergency (Major Units) Crude Mortality Rates</w:t>
      </w:r>
    </w:p>
    <w:p w14:paraId="733DBE74" w14:textId="77777777" w:rsidR="00B076A6" w:rsidRPr="000B3D7D" w:rsidRDefault="003015C8" w:rsidP="000B3D7D">
      <w:pPr>
        <w:spacing w:line="240" w:lineRule="auto"/>
        <w:jc w:val="both"/>
      </w:pPr>
      <w:r w:rsidRPr="00FF4751">
        <w:t xml:space="preserve">The </w:t>
      </w:r>
      <w:r w:rsidR="00374070" w:rsidRPr="00FF4751">
        <w:t>table</w:t>
      </w:r>
      <w:r w:rsidRPr="00FF4751">
        <w:t xml:space="preserve"> below sh</w:t>
      </w:r>
      <w:bookmarkStart w:id="0" w:name="_GoBack"/>
      <w:bookmarkEnd w:id="0"/>
      <w:r w:rsidRPr="00FF4751">
        <w:t xml:space="preserve">ow the </w:t>
      </w:r>
      <w:r w:rsidR="00374070" w:rsidRPr="00FF4751">
        <w:t xml:space="preserve">rolling </w:t>
      </w:r>
      <w:proofErr w:type="gramStart"/>
      <w:r w:rsidR="00374070" w:rsidRPr="00FF4751">
        <w:t>12</w:t>
      </w:r>
      <w:r w:rsidR="002B221B" w:rsidRPr="00FF4751">
        <w:t xml:space="preserve"> </w:t>
      </w:r>
      <w:r w:rsidR="00374070" w:rsidRPr="00FF4751">
        <w:t>month</w:t>
      </w:r>
      <w:proofErr w:type="gramEnd"/>
      <w:r w:rsidR="00374070" w:rsidRPr="00FF4751">
        <w:t xml:space="preserve"> </w:t>
      </w:r>
      <w:r w:rsidRPr="00FF4751">
        <w:t>crude mortality rate</w:t>
      </w:r>
      <w:r w:rsidRPr="00A12466">
        <w:t xml:space="preserve"> for</w:t>
      </w:r>
      <w:r w:rsidR="00374070" w:rsidRPr="00A12466">
        <w:t xml:space="preserve"> </w:t>
      </w:r>
      <w:r w:rsidR="00666CF1" w:rsidRPr="00A12466">
        <w:t>a</w:t>
      </w:r>
      <w:r w:rsidR="00374070" w:rsidRPr="00A12466">
        <w:t xml:space="preserve">ll </w:t>
      </w:r>
      <w:r w:rsidR="00606D03" w:rsidRPr="00A12466">
        <w:t>W</w:t>
      </w:r>
      <w:r w:rsidR="00666CF1" w:rsidRPr="00A12466">
        <w:t xml:space="preserve">elsh </w:t>
      </w:r>
      <w:r w:rsidR="00374070" w:rsidRPr="00A12466">
        <w:t>Health</w:t>
      </w:r>
      <w:r w:rsidR="00666CF1" w:rsidRPr="00A12466">
        <w:t xml:space="preserve"> Board sites with a major Emergency Department </w:t>
      </w:r>
      <w:r w:rsidRPr="00A12466">
        <w:t>calculated as a rate per 10,000 attendances.</w:t>
      </w:r>
    </w:p>
    <w:p w14:paraId="22C054B7" w14:textId="7D6803EA" w:rsidR="001326CB" w:rsidRDefault="00B13E90">
      <w:pPr>
        <w:spacing w:after="0" w:line="240" w:lineRule="auto"/>
      </w:pPr>
      <w:r w:rsidRPr="00B13E90">
        <w:rPr>
          <w:noProof/>
          <w:lang w:eastAsia="en-GB"/>
        </w:rPr>
        <w:drawing>
          <wp:inline distT="0" distB="0" distL="0" distR="0" wp14:anchorId="350513C7" wp14:editId="5350D447">
            <wp:extent cx="5731454" cy="7398707"/>
            <wp:effectExtent l="0" t="0" r="317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6142" cy="7404759"/>
                    </a:xfrm>
                    <a:prstGeom prst="rect">
                      <a:avLst/>
                    </a:prstGeom>
                    <a:noFill/>
                    <a:ln>
                      <a:noFill/>
                    </a:ln>
                  </pic:spPr>
                </pic:pic>
              </a:graphicData>
            </a:graphic>
          </wp:inline>
        </w:drawing>
      </w:r>
    </w:p>
    <w:tbl>
      <w:tblPr>
        <w:tblW w:w="23648" w:type="dxa"/>
        <w:tblLook w:val="04A0" w:firstRow="1" w:lastRow="0" w:firstColumn="1" w:lastColumn="0" w:noHBand="0" w:noVBand="1"/>
      </w:tblPr>
      <w:tblGrid>
        <w:gridCol w:w="3776"/>
        <w:gridCol w:w="1656"/>
        <w:gridCol w:w="1656"/>
        <w:gridCol w:w="1656"/>
        <w:gridCol w:w="1656"/>
        <w:gridCol w:w="1656"/>
        <w:gridCol w:w="1656"/>
        <w:gridCol w:w="1656"/>
        <w:gridCol w:w="1656"/>
        <w:gridCol w:w="1656"/>
        <w:gridCol w:w="1656"/>
        <w:gridCol w:w="1656"/>
        <w:gridCol w:w="1656"/>
      </w:tblGrid>
      <w:tr w:rsidR="001326CB" w:rsidRPr="001326CB" w14:paraId="236BE76F" w14:textId="77777777" w:rsidTr="001326CB">
        <w:trPr>
          <w:trHeight w:val="280"/>
        </w:trPr>
        <w:tc>
          <w:tcPr>
            <w:tcW w:w="3776" w:type="dxa"/>
            <w:tcBorders>
              <w:top w:val="nil"/>
              <w:left w:val="nil"/>
              <w:bottom w:val="nil"/>
              <w:right w:val="nil"/>
            </w:tcBorders>
            <w:shd w:val="clear" w:color="auto" w:fill="auto"/>
            <w:noWrap/>
            <w:vAlign w:val="bottom"/>
            <w:hideMark/>
          </w:tcPr>
          <w:p w14:paraId="477EAB99"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Source: EDDS via Data Mart</w:t>
            </w:r>
          </w:p>
        </w:tc>
        <w:tc>
          <w:tcPr>
            <w:tcW w:w="1656" w:type="dxa"/>
            <w:tcBorders>
              <w:top w:val="nil"/>
              <w:left w:val="nil"/>
              <w:bottom w:val="nil"/>
              <w:right w:val="nil"/>
            </w:tcBorders>
            <w:shd w:val="clear" w:color="auto" w:fill="auto"/>
            <w:noWrap/>
            <w:vAlign w:val="bottom"/>
            <w:hideMark/>
          </w:tcPr>
          <w:p w14:paraId="6189F27C"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04285A17"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B14CC12"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7E58C5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46534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0F5AAEE"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BAB21A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F3728E3"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2285F6A"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1E11BE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3F8682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BC158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17C3D819" w14:textId="77777777" w:rsidTr="001326CB">
        <w:trPr>
          <w:trHeight w:val="280"/>
        </w:trPr>
        <w:tc>
          <w:tcPr>
            <w:tcW w:w="3776" w:type="dxa"/>
            <w:tcBorders>
              <w:top w:val="nil"/>
              <w:left w:val="nil"/>
              <w:bottom w:val="nil"/>
              <w:right w:val="nil"/>
            </w:tcBorders>
            <w:shd w:val="clear" w:color="auto" w:fill="auto"/>
            <w:noWrap/>
            <w:vAlign w:val="bottom"/>
            <w:hideMark/>
          </w:tcPr>
          <w:p w14:paraId="7D9A601E"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p>
        </w:tc>
        <w:tc>
          <w:tcPr>
            <w:tcW w:w="1656" w:type="dxa"/>
            <w:tcBorders>
              <w:top w:val="nil"/>
              <w:left w:val="nil"/>
              <w:bottom w:val="nil"/>
              <w:right w:val="nil"/>
            </w:tcBorders>
            <w:shd w:val="clear" w:color="auto" w:fill="auto"/>
            <w:noWrap/>
            <w:vAlign w:val="bottom"/>
            <w:hideMark/>
          </w:tcPr>
          <w:p w14:paraId="26665417"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3EB4AD21"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629C5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615594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C0FBDA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2ECACD4"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AF1B15"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AEB4D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D5C8F7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2F9CA7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3D9DE9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83D6E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51CCDF09" w14:textId="77777777" w:rsidTr="001326CB">
        <w:trPr>
          <w:trHeight w:val="60"/>
        </w:trPr>
        <w:tc>
          <w:tcPr>
            <w:tcW w:w="23648" w:type="dxa"/>
            <w:gridSpan w:val="13"/>
            <w:tcBorders>
              <w:top w:val="nil"/>
              <w:left w:val="nil"/>
              <w:bottom w:val="nil"/>
              <w:right w:val="nil"/>
            </w:tcBorders>
            <w:shd w:val="clear" w:color="auto" w:fill="auto"/>
            <w:vAlign w:val="bottom"/>
            <w:hideMark/>
          </w:tcPr>
          <w:p w14:paraId="4F45FD24"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ABUHB Sites include data for the Royal Gwent and </w:t>
            </w:r>
            <w:proofErr w:type="spellStart"/>
            <w:r w:rsidRPr="00492A35">
              <w:rPr>
                <w:rFonts w:asciiTheme="minorHAnsi" w:eastAsia="Times New Roman" w:hAnsiTheme="minorHAnsi" w:cstheme="minorHAnsi"/>
                <w:b/>
                <w:bCs/>
                <w:color w:val="000000"/>
                <w:sz w:val="14"/>
                <w:szCs w:val="14"/>
                <w:lang w:eastAsia="en-GB"/>
              </w:rPr>
              <w:t>Nevill</w:t>
            </w:r>
            <w:proofErr w:type="spellEnd"/>
            <w:r w:rsidRPr="00492A35">
              <w:rPr>
                <w:rFonts w:asciiTheme="minorHAnsi" w:eastAsia="Times New Roman" w:hAnsiTheme="minorHAnsi" w:cstheme="minorHAnsi"/>
                <w:b/>
                <w:bCs/>
                <w:color w:val="000000"/>
                <w:sz w:val="14"/>
                <w:szCs w:val="14"/>
                <w:lang w:eastAsia="en-GB"/>
              </w:rPr>
              <w:t xml:space="preserve"> Hall hospitals up to mid-November 2020 when the Grange University Hospital </w:t>
            </w:r>
            <w:proofErr w:type="gramStart"/>
            <w:r w:rsidRPr="00492A35">
              <w:rPr>
                <w:rFonts w:asciiTheme="minorHAnsi" w:eastAsia="Times New Roman" w:hAnsiTheme="minorHAnsi" w:cstheme="minorHAnsi"/>
                <w:b/>
                <w:bCs/>
                <w:color w:val="000000"/>
                <w:sz w:val="14"/>
                <w:szCs w:val="14"/>
                <w:lang w:eastAsia="en-GB"/>
              </w:rPr>
              <w:t>was opened</w:t>
            </w:r>
            <w:proofErr w:type="gramEnd"/>
            <w:r w:rsidRPr="00492A35">
              <w:rPr>
                <w:rFonts w:asciiTheme="minorHAnsi" w:eastAsia="Times New Roman" w:hAnsiTheme="minorHAnsi" w:cstheme="minorHAnsi"/>
                <w:b/>
                <w:bCs/>
                <w:color w:val="000000"/>
                <w:sz w:val="14"/>
                <w:szCs w:val="14"/>
                <w:lang w:eastAsia="en-GB"/>
              </w:rPr>
              <w:t xml:space="preserve">. </w:t>
            </w:r>
          </w:p>
          <w:p w14:paraId="4B0D218C"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Thereafter all 3 hospitals are included in the data </w:t>
            </w:r>
            <w:proofErr w:type="gramStart"/>
            <w:r w:rsidRPr="00492A35">
              <w:rPr>
                <w:rFonts w:asciiTheme="minorHAnsi" w:eastAsia="Times New Roman" w:hAnsiTheme="minorHAnsi" w:cstheme="minorHAnsi"/>
                <w:b/>
                <w:bCs/>
                <w:color w:val="000000"/>
                <w:sz w:val="14"/>
                <w:szCs w:val="14"/>
                <w:lang w:eastAsia="en-GB"/>
              </w:rPr>
              <w:t>to better describe</w:t>
            </w:r>
            <w:proofErr w:type="gramEnd"/>
            <w:r w:rsidRPr="00492A35">
              <w:rPr>
                <w:rFonts w:asciiTheme="minorHAnsi" w:eastAsia="Times New Roman" w:hAnsiTheme="minorHAnsi" w:cstheme="minorHAnsi"/>
                <w:b/>
                <w:bCs/>
                <w:color w:val="000000"/>
                <w:sz w:val="14"/>
                <w:szCs w:val="14"/>
                <w:lang w:eastAsia="en-GB"/>
              </w:rPr>
              <w:t xml:space="preserve"> the revised model of emergency care in the region.</w:t>
            </w:r>
          </w:p>
        </w:tc>
      </w:tr>
    </w:tbl>
    <w:p w14:paraId="3B953AAE" w14:textId="77777777" w:rsidR="000A1CA9" w:rsidRDefault="000A1CA9">
      <w:pPr>
        <w:spacing w:after="0" w:line="240" w:lineRule="auto"/>
      </w:pPr>
      <w:r>
        <w:br w:type="page"/>
      </w:r>
    </w:p>
    <w:p w14:paraId="66F8F9F4" w14:textId="77777777" w:rsidR="00AD5AA0" w:rsidRDefault="00AD5AA0" w:rsidP="00111565">
      <w:pPr>
        <w:spacing w:after="0" w:line="240" w:lineRule="auto"/>
        <w:jc w:val="both"/>
        <w:rPr>
          <w:b/>
        </w:rPr>
      </w:pPr>
      <w:r>
        <w:lastRenderedPageBreak/>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w:t>
      </w:r>
      <w:proofErr w:type="gramStart"/>
      <w:r>
        <w:t xml:space="preserve">should be </w:t>
      </w:r>
      <w:r w:rsidR="00507F11">
        <w:t>acknowledged</w:t>
      </w:r>
      <w:proofErr w:type="gramEnd"/>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w:t>
      </w:r>
      <w:proofErr w:type="gramStart"/>
      <w:r w:rsidR="004971AC">
        <w:t>is reported</w:t>
      </w:r>
      <w:proofErr w:type="gramEnd"/>
      <w:r w:rsidR="004971AC">
        <w:t xml:space="preserve"> in ED rather than in hospital.</w:t>
      </w:r>
      <w:r>
        <w:t xml:space="preserve"> </w:t>
      </w:r>
      <w:proofErr w:type="gramStart"/>
      <w:r w:rsidR="001848DD">
        <w:t xml:space="preserve">All deaths that occur in Morriston </w:t>
      </w:r>
      <w:r w:rsidR="002E726D">
        <w:t xml:space="preserve">ED </w:t>
      </w:r>
      <w:r w:rsidR="00FA0ADE">
        <w:t xml:space="preserve">are </w:t>
      </w:r>
      <w:r w:rsidR="001848DD">
        <w:t>reviewed by an ED Consultant</w:t>
      </w:r>
      <w:proofErr w:type="gramEnd"/>
      <w:r w:rsidR="001848DD">
        <w:t xml:space="preserve">. </w:t>
      </w:r>
    </w:p>
    <w:sectPr w:rsidR="00AD5AA0" w:rsidSect="00324EA8">
      <w:footerReference w:type="default" r:id="rId25"/>
      <w:headerReference w:type="first" r:id="rId26"/>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56B416" w14:textId="77777777" w:rsidR="00FC5AC1" w:rsidRDefault="00FC5AC1" w:rsidP="00992005">
      <w:pPr>
        <w:spacing w:after="0" w:line="240" w:lineRule="auto"/>
      </w:pPr>
      <w:r>
        <w:separator/>
      </w:r>
    </w:p>
  </w:endnote>
  <w:endnote w:type="continuationSeparator" w:id="0">
    <w:p w14:paraId="19AB6526" w14:textId="77777777" w:rsidR="00FC5AC1" w:rsidRDefault="00FC5AC1"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09ADD" w14:textId="2A1A204E" w:rsidR="00FC5AC1" w:rsidRDefault="00FC5AC1">
    <w:pPr>
      <w:pStyle w:val="Footer"/>
      <w:jc w:val="right"/>
    </w:pPr>
    <w:r>
      <w:fldChar w:fldCharType="begin"/>
    </w:r>
    <w:r>
      <w:instrText xml:space="preserve"> PAGE   \* MERGEFORMAT </w:instrText>
    </w:r>
    <w:r>
      <w:fldChar w:fldCharType="separate"/>
    </w:r>
    <w:r w:rsidR="00FD5227">
      <w:rPr>
        <w:noProof/>
      </w:rPr>
      <w:t>11</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9C746" w14:textId="77777777" w:rsidR="00FC5AC1" w:rsidRDefault="00FC5AC1" w:rsidP="00992005">
      <w:pPr>
        <w:spacing w:after="0" w:line="240" w:lineRule="auto"/>
      </w:pPr>
      <w:r>
        <w:separator/>
      </w:r>
    </w:p>
  </w:footnote>
  <w:footnote w:type="continuationSeparator" w:id="0">
    <w:p w14:paraId="75D1889D" w14:textId="77777777" w:rsidR="00FC5AC1" w:rsidRDefault="00FC5AC1"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2"/>
  <w:hideSpellingErrors/>
  <w:hideGrammaticalErrors/>
  <w:proofState w:spelling="clean" w:grammar="clean"/>
  <w:defaultTabStop w:val="720"/>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0A8A"/>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7074F"/>
    <w:rsid w:val="00070D33"/>
    <w:rsid w:val="00071ECC"/>
    <w:rsid w:val="0007249D"/>
    <w:rsid w:val="000729FE"/>
    <w:rsid w:val="000735BA"/>
    <w:rsid w:val="00074191"/>
    <w:rsid w:val="000750C5"/>
    <w:rsid w:val="00075A6A"/>
    <w:rsid w:val="000764C7"/>
    <w:rsid w:val="00076DA0"/>
    <w:rsid w:val="00081F92"/>
    <w:rsid w:val="00082FB5"/>
    <w:rsid w:val="000830EA"/>
    <w:rsid w:val="0008475C"/>
    <w:rsid w:val="00090331"/>
    <w:rsid w:val="00091EB7"/>
    <w:rsid w:val="00094E2A"/>
    <w:rsid w:val="000957C4"/>
    <w:rsid w:val="0009667E"/>
    <w:rsid w:val="00097B77"/>
    <w:rsid w:val="00097F6F"/>
    <w:rsid w:val="000A00A3"/>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A9D"/>
    <w:rsid w:val="000C5812"/>
    <w:rsid w:val="000D0D06"/>
    <w:rsid w:val="000D5709"/>
    <w:rsid w:val="000D5FDE"/>
    <w:rsid w:val="000D74E0"/>
    <w:rsid w:val="000E1106"/>
    <w:rsid w:val="000E35B5"/>
    <w:rsid w:val="000F015B"/>
    <w:rsid w:val="000F1EA4"/>
    <w:rsid w:val="000F71EE"/>
    <w:rsid w:val="000F7B65"/>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CA2"/>
    <w:rsid w:val="0014045C"/>
    <w:rsid w:val="00141B27"/>
    <w:rsid w:val="00141C16"/>
    <w:rsid w:val="00141F69"/>
    <w:rsid w:val="00141FF7"/>
    <w:rsid w:val="00142467"/>
    <w:rsid w:val="00144B57"/>
    <w:rsid w:val="001470BD"/>
    <w:rsid w:val="00147FCD"/>
    <w:rsid w:val="00155F48"/>
    <w:rsid w:val="00157F83"/>
    <w:rsid w:val="00161625"/>
    <w:rsid w:val="00161EBD"/>
    <w:rsid w:val="0016291F"/>
    <w:rsid w:val="00164B3A"/>
    <w:rsid w:val="001734CA"/>
    <w:rsid w:val="0017385B"/>
    <w:rsid w:val="00173A3C"/>
    <w:rsid w:val="001766A3"/>
    <w:rsid w:val="00176DF9"/>
    <w:rsid w:val="00177963"/>
    <w:rsid w:val="00177D59"/>
    <w:rsid w:val="001826A1"/>
    <w:rsid w:val="00183594"/>
    <w:rsid w:val="00183E7C"/>
    <w:rsid w:val="001848DD"/>
    <w:rsid w:val="00185352"/>
    <w:rsid w:val="00185F79"/>
    <w:rsid w:val="001876D7"/>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356B"/>
    <w:rsid w:val="001D4D10"/>
    <w:rsid w:val="001D4EE8"/>
    <w:rsid w:val="001D612E"/>
    <w:rsid w:val="001E0727"/>
    <w:rsid w:val="001E1A53"/>
    <w:rsid w:val="001E4414"/>
    <w:rsid w:val="001E5426"/>
    <w:rsid w:val="001E5B73"/>
    <w:rsid w:val="001E787A"/>
    <w:rsid w:val="001F0DE8"/>
    <w:rsid w:val="001F155F"/>
    <w:rsid w:val="001F1F4B"/>
    <w:rsid w:val="001F3413"/>
    <w:rsid w:val="001F44CF"/>
    <w:rsid w:val="001F73CD"/>
    <w:rsid w:val="001F7B1E"/>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447C"/>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E726D"/>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7472"/>
    <w:rsid w:val="003576D9"/>
    <w:rsid w:val="00360F5B"/>
    <w:rsid w:val="00361D58"/>
    <w:rsid w:val="0036541D"/>
    <w:rsid w:val="0036715E"/>
    <w:rsid w:val="00367AFE"/>
    <w:rsid w:val="00371EF9"/>
    <w:rsid w:val="00374070"/>
    <w:rsid w:val="003748FB"/>
    <w:rsid w:val="00374CE0"/>
    <w:rsid w:val="00375201"/>
    <w:rsid w:val="003759E7"/>
    <w:rsid w:val="00375CF7"/>
    <w:rsid w:val="003806BF"/>
    <w:rsid w:val="00382D50"/>
    <w:rsid w:val="0038459B"/>
    <w:rsid w:val="00386722"/>
    <w:rsid w:val="00386821"/>
    <w:rsid w:val="003942DB"/>
    <w:rsid w:val="00394C5F"/>
    <w:rsid w:val="00395DF9"/>
    <w:rsid w:val="003961F2"/>
    <w:rsid w:val="003A095B"/>
    <w:rsid w:val="003A1BD7"/>
    <w:rsid w:val="003A1E49"/>
    <w:rsid w:val="003A2423"/>
    <w:rsid w:val="003A33BF"/>
    <w:rsid w:val="003A3652"/>
    <w:rsid w:val="003A44F2"/>
    <w:rsid w:val="003A4F1F"/>
    <w:rsid w:val="003A5BEE"/>
    <w:rsid w:val="003B1F04"/>
    <w:rsid w:val="003B4B08"/>
    <w:rsid w:val="003B4EE2"/>
    <w:rsid w:val="003B5956"/>
    <w:rsid w:val="003C0624"/>
    <w:rsid w:val="003C3285"/>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7D9"/>
    <w:rsid w:val="00407B18"/>
    <w:rsid w:val="00410CAC"/>
    <w:rsid w:val="00416108"/>
    <w:rsid w:val="004175E2"/>
    <w:rsid w:val="00422167"/>
    <w:rsid w:val="004236B3"/>
    <w:rsid w:val="00425736"/>
    <w:rsid w:val="0043056B"/>
    <w:rsid w:val="004308B0"/>
    <w:rsid w:val="00430CA8"/>
    <w:rsid w:val="00430F95"/>
    <w:rsid w:val="00431008"/>
    <w:rsid w:val="00432BF9"/>
    <w:rsid w:val="0043652E"/>
    <w:rsid w:val="00437316"/>
    <w:rsid w:val="00440F9B"/>
    <w:rsid w:val="004427C8"/>
    <w:rsid w:val="00444143"/>
    <w:rsid w:val="00446B05"/>
    <w:rsid w:val="00446F2F"/>
    <w:rsid w:val="00447EB6"/>
    <w:rsid w:val="00451366"/>
    <w:rsid w:val="0045266E"/>
    <w:rsid w:val="00453307"/>
    <w:rsid w:val="00455962"/>
    <w:rsid w:val="00457B20"/>
    <w:rsid w:val="00457DAC"/>
    <w:rsid w:val="004608D6"/>
    <w:rsid w:val="00461FED"/>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5CD7"/>
    <w:rsid w:val="0049158F"/>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BA9"/>
    <w:rsid w:val="004D3F3A"/>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5F7D"/>
    <w:rsid w:val="005065F0"/>
    <w:rsid w:val="00507AE0"/>
    <w:rsid w:val="00507F11"/>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2202"/>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4ED"/>
    <w:rsid w:val="005F38CD"/>
    <w:rsid w:val="00601CB5"/>
    <w:rsid w:val="00602372"/>
    <w:rsid w:val="006041FB"/>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519C"/>
    <w:rsid w:val="006557E7"/>
    <w:rsid w:val="00664538"/>
    <w:rsid w:val="00664839"/>
    <w:rsid w:val="00664D76"/>
    <w:rsid w:val="0066585E"/>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341"/>
    <w:rsid w:val="00687CA0"/>
    <w:rsid w:val="00691DA0"/>
    <w:rsid w:val="00694FB4"/>
    <w:rsid w:val="006954B3"/>
    <w:rsid w:val="00695640"/>
    <w:rsid w:val="00696382"/>
    <w:rsid w:val="00697986"/>
    <w:rsid w:val="006A144A"/>
    <w:rsid w:val="006A5393"/>
    <w:rsid w:val="006B0DBF"/>
    <w:rsid w:val="006B0F55"/>
    <w:rsid w:val="006B1D64"/>
    <w:rsid w:val="006B2EE7"/>
    <w:rsid w:val="006B34C0"/>
    <w:rsid w:val="006B3B69"/>
    <w:rsid w:val="006B5648"/>
    <w:rsid w:val="006B7A3D"/>
    <w:rsid w:val="006C162E"/>
    <w:rsid w:val="006C3A82"/>
    <w:rsid w:val="006C3EAF"/>
    <w:rsid w:val="006C492E"/>
    <w:rsid w:val="006C4D98"/>
    <w:rsid w:val="006C524C"/>
    <w:rsid w:val="006C5A1A"/>
    <w:rsid w:val="006D03F4"/>
    <w:rsid w:val="006D40B8"/>
    <w:rsid w:val="006D50A4"/>
    <w:rsid w:val="006D512A"/>
    <w:rsid w:val="006D6795"/>
    <w:rsid w:val="006D6A77"/>
    <w:rsid w:val="006D6F38"/>
    <w:rsid w:val="006D72EE"/>
    <w:rsid w:val="006E169C"/>
    <w:rsid w:val="006E1BF1"/>
    <w:rsid w:val="006E3130"/>
    <w:rsid w:val="006E6AAE"/>
    <w:rsid w:val="006E6B9F"/>
    <w:rsid w:val="006E765D"/>
    <w:rsid w:val="006F1E94"/>
    <w:rsid w:val="006F32FB"/>
    <w:rsid w:val="006F3953"/>
    <w:rsid w:val="006F5929"/>
    <w:rsid w:val="006F6377"/>
    <w:rsid w:val="006F6D75"/>
    <w:rsid w:val="007007AF"/>
    <w:rsid w:val="007008C5"/>
    <w:rsid w:val="007031B4"/>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4E99"/>
    <w:rsid w:val="00727BA3"/>
    <w:rsid w:val="00730A8E"/>
    <w:rsid w:val="00731A80"/>
    <w:rsid w:val="00731F36"/>
    <w:rsid w:val="00734428"/>
    <w:rsid w:val="00736322"/>
    <w:rsid w:val="00742500"/>
    <w:rsid w:val="00744BF6"/>
    <w:rsid w:val="007457C2"/>
    <w:rsid w:val="00745EA7"/>
    <w:rsid w:val="007512DA"/>
    <w:rsid w:val="0075279C"/>
    <w:rsid w:val="00752D08"/>
    <w:rsid w:val="00753FA5"/>
    <w:rsid w:val="00754D0B"/>
    <w:rsid w:val="00756B4A"/>
    <w:rsid w:val="007575CF"/>
    <w:rsid w:val="007578F5"/>
    <w:rsid w:val="007608C5"/>
    <w:rsid w:val="0076310A"/>
    <w:rsid w:val="007632CC"/>
    <w:rsid w:val="00764CC0"/>
    <w:rsid w:val="0076612D"/>
    <w:rsid w:val="00766C97"/>
    <w:rsid w:val="007702BB"/>
    <w:rsid w:val="00772B62"/>
    <w:rsid w:val="0077481C"/>
    <w:rsid w:val="00776986"/>
    <w:rsid w:val="00776D11"/>
    <w:rsid w:val="007804E0"/>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C4E7E"/>
    <w:rsid w:val="007D0546"/>
    <w:rsid w:val="007D3781"/>
    <w:rsid w:val="007D37B1"/>
    <w:rsid w:val="007D4BD8"/>
    <w:rsid w:val="007D6783"/>
    <w:rsid w:val="007E3840"/>
    <w:rsid w:val="007E3D67"/>
    <w:rsid w:val="007E4550"/>
    <w:rsid w:val="007E56AF"/>
    <w:rsid w:val="007F0629"/>
    <w:rsid w:val="007F2F2A"/>
    <w:rsid w:val="007F5BF6"/>
    <w:rsid w:val="007F695E"/>
    <w:rsid w:val="00802760"/>
    <w:rsid w:val="0080297A"/>
    <w:rsid w:val="00806662"/>
    <w:rsid w:val="00807122"/>
    <w:rsid w:val="008100D2"/>
    <w:rsid w:val="008122B0"/>
    <w:rsid w:val="00813559"/>
    <w:rsid w:val="00816048"/>
    <w:rsid w:val="008162AA"/>
    <w:rsid w:val="00816B48"/>
    <w:rsid w:val="0081754C"/>
    <w:rsid w:val="00820F53"/>
    <w:rsid w:val="008223B7"/>
    <w:rsid w:val="00824633"/>
    <w:rsid w:val="00825F16"/>
    <w:rsid w:val="00825FBC"/>
    <w:rsid w:val="00833062"/>
    <w:rsid w:val="00834B70"/>
    <w:rsid w:val="0083547B"/>
    <w:rsid w:val="00835802"/>
    <w:rsid w:val="0083661F"/>
    <w:rsid w:val="0083765C"/>
    <w:rsid w:val="008448C9"/>
    <w:rsid w:val="00845A4D"/>
    <w:rsid w:val="00846240"/>
    <w:rsid w:val="00847930"/>
    <w:rsid w:val="00852A45"/>
    <w:rsid w:val="00855FBE"/>
    <w:rsid w:val="00856BF7"/>
    <w:rsid w:val="00857F3A"/>
    <w:rsid w:val="00864677"/>
    <w:rsid w:val="0086614B"/>
    <w:rsid w:val="00866EE1"/>
    <w:rsid w:val="0086700F"/>
    <w:rsid w:val="0086759E"/>
    <w:rsid w:val="00871636"/>
    <w:rsid w:val="0087190B"/>
    <w:rsid w:val="0087391C"/>
    <w:rsid w:val="00874F36"/>
    <w:rsid w:val="008807AF"/>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2A8"/>
    <w:rsid w:val="008A0C16"/>
    <w:rsid w:val="008A1599"/>
    <w:rsid w:val="008A1F29"/>
    <w:rsid w:val="008A2BB1"/>
    <w:rsid w:val="008A4319"/>
    <w:rsid w:val="008A4818"/>
    <w:rsid w:val="008A7F76"/>
    <w:rsid w:val="008B0D1A"/>
    <w:rsid w:val="008B1708"/>
    <w:rsid w:val="008B4C4E"/>
    <w:rsid w:val="008B7937"/>
    <w:rsid w:val="008B7A7E"/>
    <w:rsid w:val="008B7D3C"/>
    <w:rsid w:val="008C083D"/>
    <w:rsid w:val="008C0B44"/>
    <w:rsid w:val="008C1294"/>
    <w:rsid w:val="008C1987"/>
    <w:rsid w:val="008C43B1"/>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E5D"/>
    <w:rsid w:val="008F6A33"/>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4808"/>
    <w:rsid w:val="0091497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4D2"/>
    <w:rsid w:val="00971A24"/>
    <w:rsid w:val="0097339F"/>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309E"/>
    <w:rsid w:val="0099314C"/>
    <w:rsid w:val="009935C3"/>
    <w:rsid w:val="009939CC"/>
    <w:rsid w:val="00994154"/>
    <w:rsid w:val="00996881"/>
    <w:rsid w:val="009A22E6"/>
    <w:rsid w:val="009A485F"/>
    <w:rsid w:val="009A6285"/>
    <w:rsid w:val="009A73A5"/>
    <w:rsid w:val="009B0F7B"/>
    <w:rsid w:val="009B186D"/>
    <w:rsid w:val="009B216B"/>
    <w:rsid w:val="009B224E"/>
    <w:rsid w:val="009B2AD9"/>
    <w:rsid w:val="009B3747"/>
    <w:rsid w:val="009B421D"/>
    <w:rsid w:val="009C13A7"/>
    <w:rsid w:val="009C2F01"/>
    <w:rsid w:val="009C4207"/>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2466"/>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1461"/>
    <w:rsid w:val="00A819CE"/>
    <w:rsid w:val="00A829A2"/>
    <w:rsid w:val="00A845EF"/>
    <w:rsid w:val="00A86BED"/>
    <w:rsid w:val="00A87BFF"/>
    <w:rsid w:val="00A90D67"/>
    <w:rsid w:val="00A91ACE"/>
    <w:rsid w:val="00A9216B"/>
    <w:rsid w:val="00A9546E"/>
    <w:rsid w:val="00A95D57"/>
    <w:rsid w:val="00A97D57"/>
    <w:rsid w:val="00AA07B5"/>
    <w:rsid w:val="00AA25D9"/>
    <w:rsid w:val="00AA3AD3"/>
    <w:rsid w:val="00AA4708"/>
    <w:rsid w:val="00AA59E3"/>
    <w:rsid w:val="00AA6BCF"/>
    <w:rsid w:val="00AA6D98"/>
    <w:rsid w:val="00AB0B28"/>
    <w:rsid w:val="00AB0CF6"/>
    <w:rsid w:val="00AB165D"/>
    <w:rsid w:val="00AB4BC0"/>
    <w:rsid w:val="00AB4E28"/>
    <w:rsid w:val="00AB7410"/>
    <w:rsid w:val="00AB7750"/>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2E76"/>
    <w:rsid w:val="00B03D9F"/>
    <w:rsid w:val="00B0616B"/>
    <w:rsid w:val="00B06A87"/>
    <w:rsid w:val="00B076A6"/>
    <w:rsid w:val="00B129A1"/>
    <w:rsid w:val="00B13E90"/>
    <w:rsid w:val="00B151CC"/>
    <w:rsid w:val="00B17523"/>
    <w:rsid w:val="00B24EF4"/>
    <w:rsid w:val="00B24FCC"/>
    <w:rsid w:val="00B254D2"/>
    <w:rsid w:val="00B26521"/>
    <w:rsid w:val="00B27FEC"/>
    <w:rsid w:val="00B317DB"/>
    <w:rsid w:val="00B32324"/>
    <w:rsid w:val="00B3444C"/>
    <w:rsid w:val="00B344A2"/>
    <w:rsid w:val="00B348E3"/>
    <w:rsid w:val="00B36285"/>
    <w:rsid w:val="00B4248C"/>
    <w:rsid w:val="00B428C3"/>
    <w:rsid w:val="00B44FA7"/>
    <w:rsid w:val="00B471C1"/>
    <w:rsid w:val="00B4739F"/>
    <w:rsid w:val="00B47877"/>
    <w:rsid w:val="00B51C85"/>
    <w:rsid w:val="00B535A0"/>
    <w:rsid w:val="00B53CBC"/>
    <w:rsid w:val="00B53D6F"/>
    <w:rsid w:val="00B56D9D"/>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169A"/>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5E85"/>
    <w:rsid w:val="00C00972"/>
    <w:rsid w:val="00C01428"/>
    <w:rsid w:val="00C0239C"/>
    <w:rsid w:val="00C024AD"/>
    <w:rsid w:val="00C032B2"/>
    <w:rsid w:val="00C06909"/>
    <w:rsid w:val="00C06FAF"/>
    <w:rsid w:val="00C10A6D"/>
    <w:rsid w:val="00C12443"/>
    <w:rsid w:val="00C124B8"/>
    <w:rsid w:val="00C1348D"/>
    <w:rsid w:val="00C13D42"/>
    <w:rsid w:val="00C13ED7"/>
    <w:rsid w:val="00C16A18"/>
    <w:rsid w:val="00C172C8"/>
    <w:rsid w:val="00C2091E"/>
    <w:rsid w:val="00C20E5F"/>
    <w:rsid w:val="00C2665B"/>
    <w:rsid w:val="00C27A12"/>
    <w:rsid w:val="00C3025D"/>
    <w:rsid w:val="00C327BD"/>
    <w:rsid w:val="00C336F6"/>
    <w:rsid w:val="00C33742"/>
    <w:rsid w:val="00C3485D"/>
    <w:rsid w:val="00C355EE"/>
    <w:rsid w:val="00C4015E"/>
    <w:rsid w:val="00C40F73"/>
    <w:rsid w:val="00C414EC"/>
    <w:rsid w:val="00C42309"/>
    <w:rsid w:val="00C42BBE"/>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2E39"/>
    <w:rsid w:val="00C83AD9"/>
    <w:rsid w:val="00C83B85"/>
    <w:rsid w:val="00C83E16"/>
    <w:rsid w:val="00C87BF3"/>
    <w:rsid w:val="00C87D77"/>
    <w:rsid w:val="00C87E48"/>
    <w:rsid w:val="00C91359"/>
    <w:rsid w:val="00C91866"/>
    <w:rsid w:val="00C92FAE"/>
    <w:rsid w:val="00C9570F"/>
    <w:rsid w:val="00C957F4"/>
    <w:rsid w:val="00C97685"/>
    <w:rsid w:val="00CA0275"/>
    <w:rsid w:val="00CA331D"/>
    <w:rsid w:val="00CA4855"/>
    <w:rsid w:val="00CB06ED"/>
    <w:rsid w:val="00CB271E"/>
    <w:rsid w:val="00CB42EE"/>
    <w:rsid w:val="00CB77EF"/>
    <w:rsid w:val="00CB7D3F"/>
    <w:rsid w:val="00CC0270"/>
    <w:rsid w:val="00CC0423"/>
    <w:rsid w:val="00CC1333"/>
    <w:rsid w:val="00CC36E2"/>
    <w:rsid w:val="00CC3EB9"/>
    <w:rsid w:val="00CC5CFF"/>
    <w:rsid w:val="00CC64C5"/>
    <w:rsid w:val="00CD141C"/>
    <w:rsid w:val="00CD19DC"/>
    <w:rsid w:val="00CD1C86"/>
    <w:rsid w:val="00CD4256"/>
    <w:rsid w:val="00CD5B10"/>
    <w:rsid w:val="00CD661C"/>
    <w:rsid w:val="00CE2D56"/>
    <w:rsid w:val="00CE2FB2"/>
    <w:rsid w:val="00CE545C"/>
    <w:rsid w:val="00CE76CF"/>
    <w:rsid w:val="00CE7B47"/>
    <w:rsid w:val="00CF0C8D"/>
    <w:rsid w:val="00CF1CAD"/>
    <w:rsid w:val="00CF1ED0"/>
    <w:rsid w:val="00CF2377"/>
    <w:rsid w:val="00CF3884"/>
    <w:rsid w:val="00CF638B"/>
    <w:rsid w:val="00D03849"/>
    <w:rsid w:val="00D05923"/>
    <w:rsid w:val="00D06419"/>
    <w:rsid w:val="00D075A5"/>
    <w:rsid w:val="00D10EF2"/>
    <w:rsid w:val="00D119BA"/>
    <w:rsid w:val="00D13464"/>
    <w:rsid w:val="00D13579"/>
    <w:rsid w:val="00D13604"/>
    <w:rsid w:val="00D13FAE"/>
    <w:rsid w:val="00D14D4F"/>
    <w:rsid w:val="00D17AA2"/>
    <w:rsid w:val="00D21B5A"/>
    <w:rsid w:val="00D21D79"/>
    <w:rsid w:val="00D25FFF"/>
    <w:rsid w:val="00D26316"/>
    <w:rsid w:val="00D30B82"/>
    <w:rsid w:val="00D32439"/>
    <w:rsid w:val="00D3277D"/>
    <w:rsid w:val="00D330DC"/>
    <w:rsid w:val="00D377B1"/>
    <w:rsid w:val="00D418EC"/>
    <w:rsid w:val="00D448EC"/>
    <w:rsid w:val="00D45A1E"/>
    <w:rsid w:val="00D45CA0"/>
    <w:rsid w:val="00D50C0E"/>
    <w:rsid w:val="00D524AC"/>
    <w:rsid w:val="00D56AB5"/>
    <w:rsid w:val="00D61453"/>
    <w:rsid w:val="00D617F5"/>
    <w:rsid w:val="00D628A2"/>
    <w:rsid w:val="00D6646D"/>
    <w:rsid w:val="00D67009"/>
    <w:rsid w:val="00D679EB"/>
    <w:rsid w:val="00D7241F"/>
    <w:rsid w:val="00D740E1"/>
    <w:rsid w:val="00D76580"/>
    <w:rsid w:val="00D768D3"/>
    <w:rsid w:val="00D7707D"/>
    <w:rsid w:val="00D81A6E"/>
    <w:rsid w:val="00D831F8"/>
    <w:rsid w:val="00D859A4"/>
    <w:rsid w:val="00D90CDA"/>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36D"/>
    <w:rsid w:val="00DC65E6"/>
    <w:rsid w:val="00DC724F"/>
    <w:rsid w:val="00DD23A4"/>
    <w:rsid w:val="00DD2A51"/>
    <w:rsid w:val="00DD2C12"/>
    <w:rsid w:val="00DD4410"/>
    <w:rsid w:val="00DD5535"/>
    <w:rsid w:val="00DD5FE9"/>
    <w:rsid w:val="00DD7107"/>
    <w:rsid w:val="00DE26DC"/>
    <w:rsid w:val="00DE36B0"/>
    <w:rsid w:val="00DE4501"/>
    <w:rsid w:val="00DE4A65"/>
    <w:rsid w:val="00DE722F"/>
    <w:rsid w:val="00DF0EB4"/>
    <w:rsid w:val="00DF3AE2"/>
    <w:rsid w:val="00DF4909"/>
    <w:rsid w:val="00DF4978"/>
    <w:rsid w:val="00DF5172"/>
    <w:rsid w:val="00DF5460"/>
    <w:rsid w:val="00DF67C0"/>
    <w:rsid w:val="00E02031"/>
    <w:rsid w:val="00E04C10"/>
    <w:rsid w:val="00E04D13"/>
    <w:rsid w:val="00E0683F"/>
    <w:rsid w:val="00E06E43"/>
    <w:rsid w:val="00E06EE2"/>
    <w:rsid w:val="00E07675"/>
    <w:rsid w:val="00E11FAD"/>
    <w:rsid w:val="00E13CD9"/>
    <w:rsid w:val="00E142D7"/>
    <w:rsid w:val="00E151E5"/>
    <w:rsid w:val="00E15EA4"/>
    <w:rsid w:val="00E20E76"/>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3EC"/>
    <w:rsid w:val="00E805EC"/>
    <w:rsid w:val="00E81175"/>
    <w:rsid w:val="00E8133E"/>
    <w:rsid w:val="00E817E6"/>
    <w:rsid w:val="00E91705"/>
    <w:rsid w:val="00E95904"/>
    <w:rsid w:val="00E960CD"/>
    <w:rsid w:val="00E971F2"/>
    <w:rsid w:val="00E9774A"/>
    <w:rsid w:val="00EA2548"/>
    <w:rsid w:val="00EA2679"/>
    <w:rsid w:val="00EA43F7"/>
    <w:rsid w:val="00EB1C0B"/>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219F"/>
    <w:rsid w:val="00EF3480"/>
    <w:rsid w:val="00EF444E"/>
    <w:rsid w:val="00EF6E9C"/>
    <w:rsid w:val="00F015E4"/>
    <w:rsid w:val="00F02C3E"/>
    <w:rsid w:val="00F02F83"/>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50236"/>
    <w:rsid w:val="00F52916"/>
    <w:rsid w:val="00F52CB9"/>
    <w:rsid w:val="00F56D2B"/>
    <w:rsid w:val="00F63FD8"/>
    <w:rsid w:val="00F648DD"/>
    <w:rsid w:val="00F664DB"/>
    <w:rsid w:val="00F71AA8"/>
    <w:rsid w:val="00F7275E"/>
    <w:rsid w:val="00F74F04"/>
    <w:rsid w:val="00F831EA"/>
    <w:rsid w:val="00F83DF1"/>
    <w:rsid w:val="00F84537"/>
    <w:rsid w:val="00F86164"/>
    <w:rsid w:val="00F874FF"/>
    <w:rsid w:val="00F91C1A"/>
    <w:rsid w:val="00F91F00"/>
    <w:rsid w:val="00F928D1"/>
    <w:rsid w:val="00F937E0"/>
    <w:rsid w:val="00F93A5E"/>
    <w:rsid w:val="00F94607"/>
    <w:rsid w:val="00F9480C"/>
    <w:rsid w:val="00F95F21"/>
    <w:rsid w:val="00F97219"/>
    <w:rsid w:val="00F97CD5"/>
    <w:rsid w:val="00FA048D"/>
    <w:rsid w:val="00FA0ADE"/>
    <w:rsid w:val="00FA17F8"/>
    <w:rsid w:val="00FA27C9"/>
    <w:rsid w:val="00FA5AAB"/>
    <w:rsid w:val="00FA65FE"/>
    <w:rsid w:val="00FA6A90"/>
    <w:rsid w:val="00FA6AE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chart" Target="charts/chart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3.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sz="1200"/>
              <a:t>SBU HB Rates of deaths in hospital within 30 days of emergency admission with a stroke</a:t>
            </a:r>
          </a:p>
        </c:rich>
      </c:tx>
      <c:layout>
        <c:manualLayout>
          <c:xMode val="edge"/>
          <c:yMode val="edge"/>
          <c:x val="0.11666199656077471"/>
          <c:y val="1.3888893951915265E-2"/>
        </c:manualLayout>
      </c:layout>
      <c:overlay val="0"/>
    </c:title>
    <c:autoTitleDeleted val="0"/>
    <c:plotArea>
      <c:layout>
        <c:manualLayout>
          <c:layoutTarget val="inner"/>
          <c:xMode val="edge"/>
          <c:yMode val="edge"/>
          <c:x val="7.4778604398588105E-2"/>
          <c:y val="0.23482656562648208"/>
          <c:w val="0.90499151054394067"/>
          <c:h val="0.42657714587968282"/>
        </c:manualLayout>
      </c:layout>
      <c:lineChart>
        <c:grouping val="standard"/>
        <c:varyColors val="0"/>
        <c:ser>
          <c:idx val="0"/>
          <c:order val="0"/>
          <c:spPr>
            <a:ln w="25400"/>
          </c:spPr>
          <c:marker>
            <c:symbol val="diamond"/>
            <c:size val="4"/>
          </c:marker>
          <c:cat>
            <c:numRef>
              <c:f>'Condition Spec'!$A$98:$A$185</c:f>
              <c:numCache>
                <c:formatCode>mmm\-yyyy</c:formatCode>
                <c:ptCount val="88"/>
                <c:pt idx="0">
                  <c:v>42339</c:v>
                </c:pt>
                <c:pt idx="1">
                  <c:v>42370</c:v>
                </c:pt>
                <c:pt idx="2">
                  <c:v>42401</c:v>
                </c:pt>
                <c:pt idx="3">
                  <c:v>42430</c:v>
                </c:pt>
                <c:pt idx="4">
                  <c:v>42461</c:v>
                </c:pt>
                <c:pt idx="5">
                  <c:v>42491</c:v>
                </c:pt>
                <c:pt idx="6">
                  <c:v>42522</c:v>
                </c:pt>
                <c:pt idx="7">
                  <c:v>42552</c:v>
                </c:pt>
                <c:pt idx="8">
                  <c:v>42583</c:v>
                </c:pt>
                <c:pt idx="9">
                  <c:v>42614</c:v>
                </c:pt>
                <c:pt idx="10">
                  <c:v>42644</c:v>
                </c:pt>
                <c:pt idx="11">
                  <c:v>42675</c:v>
                </c:pt>
                <c:pt idx="12">
                  <c:v>42705</c:v>
                </c:pt>
                <c:pt idx="13">
                  <c:v>42736</c:v>
                </c:pt>
                <c:pt idx="14">
                  <c:v>42767</c:v>
                </c:pt>
                <c:pt idx="15">
                  <c:v>42795</c:v>
                </c:pt>
                <c:pt idx="16">
                  <c:v>42826</c:v>
                </c:pt>
                <c:pt idx="17">
                  <c:v>42856</c:v>
                </c:pt>
                <c:pt idx="18">
                  <c:v>42887</c:v>
                </c:pt>
                <c:pt idx="19">
                  <c:v>42917</c:v>
                </c:pt>
                <c:pt idx="20">
                  <c:v>42948</c:v>
                </c:pt>
                <c:pt idx="21">
                  <c:v>42979</c:v>
                </c:pt>
                <c:pt idx="22">
                  <c:v>43009</c:v>
                </c:pt>
                <c:pt idx="23">
                  <c:v>43040</c:v>
                </c:pt>
                <c:pt idx="24">
                  <c:v>43070</c:v>
                </c:pt>
                <c:pt idx="25">
                  <c:v>43101</c:v>
                </c:pt>
                <c:pt idx="26">
                  <c:v>43132</c:v>
                </c:pt>
                <c:pt idx="27">
                  <c:v>43160</c:v>
                </c:pt>
                <c:pt idx="28">
                  <c:v>43191</c:v>
                </c:pt>
                <c:pt idx="29">
                  <c:v>43221</c:v>
                </c:pt>
                <c:pt idx="30">
                  <c:v>43252</c:v>
                </c:pt>
                <c:pt idx="31">
                  <c:v>43282</c:v>
                </c:pt>
                <c:pt idx="32">
                  <c:v>43313</c:v>
                </c:pt>
                <c:pt idx="33">
                  <c:v>43344</c:v>
                </c:pt>
                <c:pt idx="34">
                  <c:v>43374</c:v>
                </c:pt>
                <c:pt idx="35">
                  <c:v>43405</c:v>
                </c:pt>
                <c:pt idx="36">
                  <c:v>43435</c:v>
                </c:pt>
                <c:pt idx="37">
                  <c:v>43466</c:v>
                </c:pt>
                <c:pt idx="38">
                  <c:v>43497</c:v>
                </c:pt>
                <c:pt idx="39">
                  <c:v>43525</c:v>
                </c:pt>
                <c:pt idx="40">
                  <c:v>43556</c:v>
                </c:pt>
                <c:pt idx="41">
                  <c:v>43586</c:v>
                </c:pt>
                <c:pt idx="42">
                  <c:v>43617</c:v>
                </c:pt>
                <c:pt idx="43">
                  <c:v>43647</c:v>
                </c:pt>
                <c:pt idx="44">
                  <c:v>43678</c:v>
                </c:pt>
                <c:pt idx="45">
                  <c:v>43709</c:v>
                </c:pt>
                <c:pt idx="46">
                  <c:v>43739</c:v>
                </c:pt>
                <c:pt idx="47">
                  <c:v>43770</c:v>
                </c:pt>
                <c:pt idx="48">
                  <c:v>43800</c:v>
                </c:pt>
                <c:pt idx="49">
                  <c:v>43831</c:v>
                </c:pt>
                <c:pt idx="50">
                  <c:v>43862</c:v>
                </c:pt>
                <c:pt idx="51">
                  <c:v>43891</c:v>
                </c:pt>
                <c:pt idx="52">
                  <c:v>43922</c:v>
                </c:pt>
                <c:pt idx="53">
                  <c:v>43952</c:v>
                </c:pt>
                <c:pt idx="54">
                  <c:v>43983</c:v>
                </c:pt>
                <c:pt idx="55">
                  <c:v>44013</c:v>
                </c:pt>
                <c:pt idx="56">
                  <c:v>44044</c:v>
                </c:pt>
                <c:pt idx="57">
                  <c:v>44075</c:v>
                </c:pt>
                <c:pt idx="58">
                  <c:v>44105</c:v>
                </c:pt>
                <c:pt idx="59">
                  <c:v>44136</c:v>
                </c:pt>
                <c:pt idx="60">
                  <c:v>44166</c:v>
                </c:pt>
                <c:pt idx="61">
                  <c:v>44197</c:v>
                </c:pt>
                <c:pt idx="62">
                  <c:v>44228</c:v>
                </c:pt>
                <c:pt idx="63">
                  <c:v>44256</c:v>
                </c:pt>
                <c:pt idx="64">
                  <c:v>44287</c:v>
                </c:pt>
                <c:pt idx="65">
                  <c:v>44317</c:v>
                </c:pt>
                <c:pt idx="66">
                  <c:v>44348</c:v>
                </c:pt>
                <c:pt idx="67">
                  <c:v>44378</c:v>
                </c:pt>
                <c:pt idx="68">
                  <c:v>44409</c:v>
                </c:pt>
                <c:pt idx="69">
                  <c:v>44440</c:v>
                </c:pt>
                <c:pt idx="70">
                  <c:v>44470</c:v>
                </c:pt>
                <c:pt idx="71">
                  <c:v>44501</c:v>
                </c:pt>
                <c:pt idx="72">
                  <c:v>44531</c:v>
                </c:pt>
                <c:pt idx="73">
                  <c:v>44562</c:v>
                </c:pt>
                <c:pt idx="74">
                  <c:v>44593</c:v>
                </c:pt>
                <c:pt idx="75">
                  <c:v>44621</c:v>
                </c:pt>
                <c:pt idx="76">
                  <c:v>44652</c:v>
                </c:pt>
                <c:pt idx="77">
                  <c:v>44682</c:v>
                </c:pt>
                <c:pt idx="78">
                  <c:v>44713</c:v>
                </c:pt>
                <c:pt idx="79">
                  <c:v>44743</c:v>
                </c:pt>
                <c:pt idx="80">
                  <c:v>44774</c:v>
                </c:pt>
                <c:pt idx="81">
                  <c:v>44805</c:v>
                </c:pt>
                <c:pt idx="82">
                  <c:v>44835</c:v>
                </c:pt>
                <c:pt idx="83">
                  <c:v>44866</c:v>
                </c:pt>
                <c:pt idx="84">
                  <c:v>44896</c:v>
                </c:pt>
                <c:pt idx="85">
                  <c:v>44927</c:v>
                </c:pt>
                <c:pt idx="86">
                  <c:v>44958</c:v>
                </c:pt>
                <c:pt idx="87">
                  <c:v>44986</c:v>
                </c:pt>
              </c:numCache>
            </c:numRef>
          </c:cat>
          <c:val>
            <c:numRef>
              <c:f>'Condition Spec'!$B$98:$B$185</c:f>
              <c:numCache>
                <c:formatCode>0.0%</c:formatCode>
                <c:ptCount val="88"/>
                <c:pt idx="0">
                  <c:v>0.15714285714285714</c:v>
                </c:pt>
                <c:pt idx="1">
                  <c:v>0.15957446808510639</c:v>
                </c:pt>
                <c:pt idx="2">
                  <c:v>0.15492957746478872</c:v>
                </c:pt>
                <c:pt idx="3">
                  <c:v>0.14561403508771931</c:v>
                </c:pt>
                <c:pt idx="4">
                  <c:v>0.14234875444839859</c:v>
                </c:pt>
                <c:pt idx="5">
                  <c:v>0.12522361359570661</c:v>
                </c:pt>
                <c:pt idx="6">
                  <c:v>0.13224637681159421</c:v>
                </c:pt>
                <c:pt idx="7">
                  <c:v>0.12792792792792793</c:v>
                </c:pt>
                <c:pt idx="8">
                  <c:v>0.12633451957295375</c:v>
                </c:pt>
                <c:pt idx="9">
                  <c:v>0.11498257839721254</c:v>
                </c:pt>
                <c:pt idx="10">
                  <c:v>0.11492281303602059</c:v>
                </c:pt>
                <c:pt idx="11">
                  <c:v>0.1174496644295302</c:v>
                </c:pt>
                <c:pt idx="12">
                  <c:v>0.12033898305084746</c:v>
                </c:pt>
                <c:pt idx="13">
                  <c:v>0.11947626841243862</c:v>
                </c:pt>
                <c:pt idx="14">
                  <c:v>0.12026359143327842</c:v>
                </c:pt>
                <c:pt idx="15">
                  <c:v>0.12292358803986711</c:v>
                </c:pt>
                <c:pt idx="16">
                  <c:v>0.12151067323481117</c:v>
                </c:pt>
                <c:pt idx="17">
                  <c:v>0.12399355877616747</c:v>
                </c:pt>
                <c:pt idx="18">
                  <c:v>0.11335403726708075</c:v>
                </c:pt>
                <c:pt idx="19">
                  <c:v>0.11827956989247312</c:v>
                </c:pt>
                <c:pt idx="20">
                  <c:v>0.12293853073463268</c:v>
                </c:pt>
                <c:pt idx="21">
                  <c:v>0.12366412213740458</c:v>
                </c:pt>
                <c:pt idx="22">
                  <c:v>0.12727272727272726</c:v>
                </c:pt>
                <c:pt idx="23">
                  <c:v>0.12556053811659193</c:v>
                </c:pt>
                <c:pt idx="24">
                  <c:v>0.11808669656203288</c:v>
                </c:pt>
                <c:pt idx="25">
                  <c:v>0.11585365853658537</c:v>
                </c:pt>
                <c:pt idx="26">
                  <c:v>0.11246200607902736</c:v>
                </c:pt>
                <c:pt idx="27">
                  <c:v>0.1161764705882353</c:v>
                </c:pt>
                <c:pt idx="28">
                  <c:v>0.11634756995581738</c:v>
                </c:pt>
                <c:pt idx="29">
                  <c:v>0.11257309941520467</c:v>
                </c:pt>
                <c:pt idx="30">
                  <c:v>0.11613876319758673</c:v>
                </c:pt>
                <c:pt idx="31">
                  <c:v>0.11094224924012158</c:v>
                </c:pt>
                <c:pt idx="32">
                  <c:v>0.10872894333843798</c:v>
                </c:pt>
                <c:pt idx="33">
                  <c:v>0.10939907550077041</c:v>
                </c:pt>
                <c:pt idx="34">
                  <c:v>0.10413476263399694</c:v>
                </c:pt>
                <c:pt idx="35">
                  <c:v>0.10387596899224806</c:v>
                </c:pt>
                <c:pt idx="36">
                  <c:v>0.10559006211180125</c:v>
                </c:pt>
                <c:pt idx="37">
                  <c:v>9.6423017107309481E-2</c:v>
                </c:pt>
                <c:pt idx="38">
                  <c:v>8.8372093023255813E-2</c:v>
                </c:pt>
                <c:pt idx="39">
                  <c:v>9.2331768388106417E-2</c:v>
                </c:pt>
                <c:pt idx="40">
                  <c:v>8.9783281733746126E-2</c:v>
                </c:pt>
                <c:pt idx="41">
                  <c:v>9.3167701863354033E-2</c:v>
                </c:pt>
                <c:pt idx="42">
                  <c:v>8.6286594761171037E-2</c:v>
                </c:pt>
                <c:pt idx="43">
                  <c:v>8.9665653495440728E-2</c:v>
                </c:pt>
                <c:pt idx="44">
                  <c:v>9.1603053435114504E-2</c:v>
                </c:pt>
                <c:pt idx="45">
                  <c:v>8.9393939393939401E-2</c:v>
                </c:pt>
                <c:pt idx="46">
                  <c:v>9.2705167173252279E-2</c:v>
                </c:pt>
                <c:pt idx="47">
                  <c:v>9.5454545454545459E-2</c:v>
                </c:pt>
                <c:pt idx="48">
                  <c:v>9.6774193548387094E-2</c:v>
                </c:pt>
                <c:pt idx="49">
                  <c:v>9.7000000000000003E-2</c:v>
                </c:pt>
                <c:pt idx="50">
                  <c:v>0.107</c:v>
                </c:pt>
                <c:pt idx="51">
                  <c:v>0.10299999999999999</c:v>
                </c:pt>
                <c:pt idx="52">
                  <c:v>0.1</c:v>
                </c:pt>
                <c:pt idx="53">
                  <c:v>0.1035007610350076</c:v>
                </c:pt>
                <c:pt idx="54">
                  <c:v>0.11377245508982035</c:v>
                </c:pt>
                <c:pt idx="55">
                  <c:v>0.11011904761904762</c:v>
                </c:pt>
                <c:pt idx="56">
                  <c:v>0.11195158850226929</c:v>
                </c:pt>
                <c:pt idx="57">
                  <c:v>0.11700000000000001</c:v>
                </c:pt>
                <c:pt idx="58">
                  <c:v>0.11600000000000001</c:v>
                </c:pt>
                <c:pt idx="59">
                  <c:v>0.113</c:v>
                </c:pt>
                <c:pt idx="60">
                  <c:v>0.11</c:v>
                </c:pt>
                <c:pt idx="61">
                  <c:v>0.11550632911392406</c:v>
                </c:pt>
                <c:pt idx="62">
                  <c:v>0.11251980982567353</c:v>
                </c:pt>
                <c:pt idx="63">
                  <c:v>0.11326860841423948</c:v>
                </c:pt>
                <c:pt idx="64">
                  <c:v>0.11838006230529595</c:v>
                </c:pt>
                <c:pt idx="65">
                  <c:v>0.11388455538221529</c:v>
                </c:pt>
                <c:pt idx="66">
                  <c:v>0.10599078341013825</c:v>
                </c:pt>
                <c:pt idx="67">
                  <c:v>0.1045958795562599</c:v>
                </c:pt>
                <c:pt idx="68">
                  <c:v>0.10153846153846154</c:v>
                </c:pt>
                <c:pt idx="69">
                  <c:v>9.5015576323987536E-2</c:v>
                </c:pt>
                <c:pt idx="70">
                  <c:v>9.6799999999999997E-2</c:v>
                </c:pt>
                <c:pt idx="71">
                  <c:v>9.8599999999999993E-2</c:v>
                </c:pt>
                <c:pt idx="72">
                  <c:v>9.9699999999999997E-2</c:v>
                </c:pt>
                <c:pt idx="73">
                  <c:v>9.8699999999999996E-2</c:v>
                </c:pt>
                <c:pt idx="74">
                  <c:v>9.98E-2</c:v>
                </c:pt>
                <c:pt idx="75">
                  <c:v>9.06E-2</c:v>
                </c:pt>
                <c:pt idx="76">
                  <c:v>8.1900000000000001E-2</c:v>
                </c:pt>
                <c:pt idx="77">
                  <c:v>7.9200000000000007E-2</c:v>
                </c:pt>
                <c:pt idx="78">
                  <c:v>7.5899999999999995E-2</c:v>
                </c:pt>
                <c:pt idx="79">
                  <c:v>7.5600000000000001E-2</c:v>
                </c:pt>
                <c:pt idx="80">
                  <c:v>8.0100000000000005E-2</c:v>
                </c:pt>
                <c:pt idx="81">
                  <c:v>8.1799999999999998E-2</c:v>
                </c:pt>
                <c:pt idx="82">
                  <c:v>7.5399999999999995E-2</c:v>
                </c:pt>
                <c:pt idx="83">
                  <c:v>7.1400000000000005E-2</c:v>
                </c:pt>
                <c:pt idx="84">
                  <c:v>7.4999999999999997E-2</c:v>
                </c:pt>
                <c:pt idx="85">
                  <c:v>8.4199999999999997E-2</c:v>
                </c:pt>
                <c:pt idx="86">
                  <c:v>8.8599999999999998E-2</c:v>
                </c:pt>
                <c:pt idx="87">
                  <c:v>0.1008</c:v>
                </c:pt>
              </c:numCache>
            </c:numRef>
          </c:val>
          <c:smooth val="0"/>
          <c:extLst>
            <c:ext xmlns:c16="http://schemas.microsoft.com/office/drawing/2014/chart" uri="{C3380CC4-5D6E-409C-BE32-E72D297353CC}">
              <c16:uniqueId val="{00000000-E171-4A00-97EF-2CC04D50E540}"/>
            </c:ext>
          </c:extLst>
        </c:ser>
        <c:dLbls>
          <c:showLegendKey val="0"/>
          <c:showVal val="0"/>
          <c:showCatName val="0"/>
          <c:showSerName val="0"/>
          <c:showPercent val="0"/>
          <c:showBubbleSize val="0"/>
        </c:dLbls>
        <c:marker val="1"/>
        <c:smooth val="0"/>
        <c:axId val="122427264"/>
        <c:axId val="122437632"/>
      </c:lineChart>
      <c:dateAx>
        <c:axId val="122427264"/>
        <c:scaling>
          <c:orientation val="minMax"/>
        </c:scaling>
        <c:delete val="0"/>
        <c:axPos val="b"/>
        <c:title>
          <c:tx>
            <c:rich>
              <a:bodyPr/>
              <a:lstStyle/>
              <a:p>
                <a:pPr>
                  <a:defRPr sz="1000" b="0" i="0" u="none" strike="noStrike" baseline="0">
                    <a:solidFill>
                      <a:srgbClr val="000000"/>
                    </a:solidFill>
                    <a:latin typeface="Calibri"/>
                    <a:ea typeface="Calibri"/>
                    <a:cs typeface="Calibri"/>
                  </a:defRPr>
                </a:pPr>
                <a:r>
                  <a:rPr lang="en-GB"/>
                  <a:t>Rolling 12 months</a:t>
                </a:r>
              </a:p>
            </c:rich>
          </c:tx>
          <c:layout/>
          <c:overlay val="0"/>
        </c:title>
        <c:numFmt formatCode="mmm\-yyyy" sourceLinked="0"/>
        <c:majorTickMark val="out"/>
        <c:minorTickMark val="none"/>
        <c:tickLblPos val="nextTo"/>
        <c:txPr>
          <a:bodyPr rot="-5400000" vert="horz"/>
          <a:lstStyle/>
          <a:p>
            <a:pPr>
              <a:defRPr sz="600" b="0" i="0" u="none" strike="noStrike" baseline="0">
                <a:solidFill>
                  <a:srgbClr val="000000"/>
                </a:solidFill>
                <a:latin typeface="Calibri"/>
                <a:ea typeface="Calibri"/>
                <a:cs typeface="Calibri"/>
              </a:defRPr>
            </a:pPr>
            <a:endParaRPr lang="en-US"/>
          </a:p>
        </c:txPr>
        <c:crossAx val="122437632"/>
        <c:crosses val="autoZero"/>
        <c:auto val="1"/>
        <c:lblOffset val="100"/>
        <c:baseTimeUnit val="months"/>
        <c:majorUnit val="1"/>
        <c:majorTimeUnit val="months"/>
      </c:dateAx>
      <c:valAx>
        <c:axId val="122437632"/>
        <c:scaling>
          <c:orientation val="minMax"/>
          <c:max val="0.2"/>
          <c:min val="6.0000000000000012E-2"/>
        </c:scaling>
        <c:delete val="0"/>
        <c:axPos val="l"/>
        <c:majorGridlines/>
        <c:numFmt formatCode="0.0%" sourceLinked="1"/>
        <c:majorTickMark val="out"/>
        <c:minorTickMark val="none"/>
        <c:tickLblPos val="nextTo"/>
        <c:txPr>
          <a:bodyPr rot="0" vert="horz"/>
          <a:lstStyle/>
          <a:p>
            <a:pPr>
              <a:defRPr sz="700" b="0" i="0" u="none" strike="noStrike" baseline="0">
                <a:solidFill>
                  <a:srgbClr val="000000"/>
                </a:solidFill>
                <a:latin typeface="Calibri"/>
                <a:ea typeface="Calibri"/>
                <a:cs typeface="Calibri"/>
              </a:defRPr>
            </a:pPr>
            <a:endParaRPr lang="en-US"/>
          </a:p>
        </c:txPr>
        <c:crossAx val="122427264"/>
        <c:crosses val="autoZero"/>
        <c:crossBetween val="between"/>
        <c:majorUnit val="2.0000000000000004E-2"/>
      </c:valAx>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sz="1200"/>
              <a:t>SBU HB Rates of death in hospital within 30 days of emergency admission with a heart attack (MI) aged 35 to 74 </a:t>
            </a:r>
          </a:p>
        </c:rich>
      </c:tx>
      <c:layout>
        <c:manualLayout>
          <c:xMode val="edge"/>
          <c:yMode val="edge"/>
          <c:x val="0.1085922444013618"/>
          <c:y val="2.0963408985641502E-2"/>
        </c:manualLayout>
      </c:layout>
      <c:overlay val="0"/>
    </c:title>
    <c:autoTitleDeleted val="0"/>
    <c:plotArea>
      <c:layout>
        <c:manualLayout>
          <c:layoutTarget val="inner"/>
          <c:xMode val="edge"/>
          <c:yMode val="edge"/>
          <c:x val="6.5274399159527347E-2"/>
          <c:y val="0.30479419484329162"/>
          <c:w val="0.91455136883680466"/>
          <c:h val="0.40839493592712678"/>
        </c:manualLayout>
      </c:layout>
      <c:lineChart>
        <c:grouping val="standard"/>
        <c:varyColors val="0"/>
        <c:ser>
          <c:idx val="0"/>
          <c:order val="0"/>
          <c:marker>
            <c:symbol val="diamond"/>
            <c:size val="4"/>
          </c:marker>
          <c:cat>
            <c:numRef>
              <c:f>'Condition Spec'!$A$191:$A$278</c:f>
              <c:numCache>
                <c:formatCode>mmm\-yyyy</c:formatCode>
                <c:ptCount val="88"/>
                <c:pt idx="0">
                  <c:v>42339</c:v>
                </c:pt>
                <c:pt idx="1">
                  <c:v>42370</c:v>
                </c:pt>
                <c:pt idx="2">
                  <c:v>42401</c:v>
                </c:pt>
                <c:pt idx="3">
                  <c:v>42430</c:v>
                </c:pt>
                <c:pt idx="4">
                  <c:v>42461</c:v>
                </c:pt>
                <c:pt idx="5">
                  <c:v>42491</c:v>
                </c:pt>
                <c:pt idx="6">
                  <c:v>42522</c:v>
                </c:pt>
                <c:pt idx="7">
                  <c:v>42552</c:v>
                </c:pt>
                <c:pt idx="8">
                  <c:v>42583</c:v>
                </c:pt>
                <c:pt idx="9">
                  <c:v>42614</c:v>
                </c:pt>
                <c:pt idx="10">
                  <c:v>42644</c:v>
                </c:pt>
                <c:pt idx="11">
                  <c:v>42675</c:v>
                </c:pt>
                <c:pt idx="12">
                  <c:v>42705</c:v>
                </c:pt>
                <c:pt idx="13">
                  <c:v>42736</c:v>
                </c:pt>
                <c:pt idx="14">
                  <c:v>42767</c:v>
                </c:pt>
                <c:pt idx="15">
                  <c:v>42795</c:v>
                </c:pt>
                <c:pt idx="16">
                  <c:v>42826</c:v>
                </c:pt>
                <c:pt idx="17">
                  <c:v>42856</c:v>
                </c:pt>
                <c:pt idx="18">
                  <c:v>42887</c:v>
                </c:pt>
                <c:pt idx="19">
                  <c:v>42917</c:v>
                </c:pt>
                <c:pt idx="20">
                  <c:v>42948</c:v>
                </c:pt>
                <c:pt idx="21">
                  <c:v>42979</c:v>
                </c:pt>
                <c:pt idx="22">
                  <c:v>43009</c:v>
                </c:pt>
                <c:pt idx="23">
                  <c:v>43040</c:v>
                </c:pt>
                <c:pt idx="24">
                  <c:v>43070</c:v>
                </c:pt>
                <c:pt idx="25">
                  <c:v>43101</c:v>
                </c:pt>
                <c:pt idx="26">
                  <c:v>43132</c:v>
                </c:pt>
                <c:pt idx="27">
                  <c:v>43160</c:v>
                </c:pt>
                <c:pt idx="28">
                  <c:v>43191</c:v>
                </c:pt>
                <c:pt idx="29">
                  <c:v>43221</c:v>
                </c:pt>
                <c:pt idx="30">
                  <c:v>43252</c:v>
                </c:pt>
                <c:pt idx="31">
                  <c:v>43282</c:v>
                </c:pt>
                <c:pt idx="32">
                  <c:v>43313</c:v>
                </c:pt>
                <c:pt idx="33">
                  <c:v>43344</c:v>
                </c:pt>
                <c:pt idx="34">
                  <c:v>43374</c:v>
                </c:pt>
                <c:pt idx="35">
                  <c:v>43405</c:v>
                </c:pt>
                <c:pt idx="36">
                  <c:v>43435</c:v>
                </c:pt>
                <c:pt idx="37">
                  <c:v>43466</c:v>
                </c:pt>
                <c:pt idx="38">
                  <c:v>43497</c:v>
                </c:pt>
                <c:pt idx="39">
                  <c:v>43525</c:v>
                </c:pt>
                <c:pt idx="40">
                  <c:v>43556</c:v>
                </c:pt>
                <c:pt idx="41">
                  <c:v>43586</c:v>
                </c:pt>
                <c:pt idx="42">
                  <c:v>43617</c:v>
                </c:pt>
                <c:pt idx="43">
                  <c:v>43647</c:v>
                </c:pt>
                <c:pt idx="44">
                  <c:v>43678</c:v>
                </c:pt>
                <c:pt idx="45">
                  <c:v>43709</c:v>
                </c:pt>
                <c:pt idx="46">
                  <c:v>43739</c:v>
                </c:pt>
                <c:pt idx="47">
                  <c:v>43770</c:v>
                </c:pt>
                <c:pt idx="48">
                  <c:v>43800</c:v>
                </c:pt>
                <c:pt idx="49">
                  <c:v>43831</c:v>
                </c:pt>
                <c:pt idx="50">
                  <c:v>43862</c:v>
                </c:pt>
                <c:pt idx="51">
                  <c:v>43891</c:v>
                </c:pt>
                <c:pt idx="52">
                  <c:v>43922</c:v>
                </c:pt>
                <c:pt idx="53">
                  <c:v>43952</c:v>
                </c:pt>
                <c:pt idx="54">
                  <c:v>43983</c:v>
                </c:pt>
                <c:pt idx="55">
                  <c:v>44013</c:v>
                </c:pt>
                <c:pt idx="56">
                  <c:v>44044</c:v>
                </c:pt>
                <c:pt idx="57">
                  <c:v>44075</c:v>
                </c:pt>
                <c:pt idx="58">
                  <c:v>44105</c:v>
                </c:pt>
                <c:pt idx="59">
                  <c:v>44136</c:v>
                </c:pt>
                <c:pt idx="60">
                  <c:v>44166</c:v>
                </c:pt>
                <c:pt idx="61">
                  <c:v>44197</c:v>
                </c:pt>
                <c:pt idx="62">
                  <c:v>44228</c:v>
                </c:pt>
                <c:pt idx="63">
                  <c:v>44256</c:v>
                </c:pt>
                <c:pt idx="64">
                  <c:v>44287</c:v>
                </c:pt>
                <c:pt idx="65">
                  <c:v>44317</c:v>
                </c:pt>
                <c:pt idx="66">
                  <c:v>44348</c:v>
                </c:pt>
                <c:pt idx="67">
                  <c:v>44378</c:v>
                </c:pt>
                <c:pt idx="68">
                  <c:v>44409</c:v>
                </c:pt>
                <c:pt idx="69">
                  <c:v>44440</c:v>
                </c:pt>
                <c:pt idx="70">
                  <c:v>44470</c:v>
                </c:pt>
                <c:pt idx="71">
                  <c:v>44501</c:v>
                </c:pt>
                <c:pt idx="72">
                  <c:v>44531</c:v>
                </c:pt>
                <c:pt idx="73">
                  <c:v>44562</c:v>
                </c:pt>
                <c:pt idx="74">
                  <c:v>44593</c:v>
                </c:pt>
                <c:pt idx="75">
                  <c:v>44621</c:v>
                </c:pt>
                <c:pt idx="76">
                  <c:v>44652</c:v>
                </c:pt>
                <c:pt idx="77">
                  <c:v>44682</c:v>
                </c:pt>
                <c:pt idx="78">
                  <c:v>44713</c:v>
                </c:pt>
                <c:pt idx="79">
                  <c:v>44743</c:v>
                </c:pt>
                <c:pt idx="80">
                  <c:v>44774</c:v>
                </c:pt>
                <c:pt idx="81">
                  <c:v>44805</c:v>
                </c:pt>
                <c:pt idx="82">
                  <c:v>44835</c:v>
                </c:pt>
                <c:pt idx="83">
                  <c:v>44866</c:v>
                </c:pt>
                <c:pt idx="84">
                  <c:v>44896</c:v>
                </c:pt>
                <c:pt idx="85">
                  <c:v>44927</c:v>
                </c:pt>
                <c:pt idx="86">
                  <c:v>44958</c:v>
                </c:pt>
                <c:pt idx="87">
                  <c:v>44986</c:v>
                </c:pt>
              </c:numCache>
            </c:numRef>
          </c:cat>
          <c:val>
            <c:numRef>
              <c:f>'Condition Spec'!$B$191:$B$278</c:f>
              <c:numCache>
                <c:formatCode>0.0%</c:formatCode>
                <c:ptCount val="88"/>
                <c:pt idx="0">
                  <c:v>5.9405940594059403E-2</c:v>
                </c:pt>
                <c:pt idx="1">
                  <c:v>5.7692307692307696E-2</c:v>
                </c:pt>
                <c:pt idx="2">
                  <c:v>5.8962264150943397E-2</c:v>
                </c:pt>
                <c:pt idx="3">
                  <c:v>5.128205128205128E-2</c:v>
                </c:pt>
                <c:pt idx="4">
                  <c:v>5.3240740740740741E-2</c:v>
                </c:pt>
                <c:pt idx="5">
                  <c:v>4.6875E-2</c:v>
                </c:pt>
                <c:pt idx="6">
                  <c:v>4.1214750542299353E-2</c:v>
                </c:pt>
                <c:pt idx="7">
                  <c:v>4.6413502109704644E-2</c:v>
                </c:pt>
                <c:pt idx="8">
                  <c:v>4.4491525423728813E-2</c:v>
                </c:pt>
                <c:pt idx="9">
                  <c:v>4.2462845010615709E-2</c:v>
                </c:pt>
                <c:pt idx="10">
                  <c:v>4.4210526315789471E-2</c:v>
                </c:pt>
                <c:pt idx="11">
                  <c:v>4.4624746450304259E-2</c:v>
                </c:pt>
                <c:pt idx="12">
                  <c:v>5.1229508196721313E-2</c:v>
                </c:pt>
                <c:pt idx="13">
                  <c:v>4.6558704453441298E-2</c:v>
                </c:pt>
                <c:pt idx="14">
                  <c:v>4.6747967479674794E-2</c:v>
                </c:pt>
                <c:pt idx="15">
                  <c:v>5.0607287449392711E-2</c:v>
                </c:pt>
                <c:pt idx="16">
                  <c:v>5.0104384133611693E-2</c:v>
                </c:pt>
                <c:pt idx="17">
                  <c:v>5.3879310344827583E-2</c:v>
                </c:pt>
                <c:pt idx="18">
                  <c:v>5.9602649006622516E-2</c:v>
                </c:pt>
                <c:pt idx="19">
                  <c:v>5.4421768707482991E-2</c:v>
                </c:pt>
                <c:pt idx="20">
                  <c:v>5.689277899343545E-2</c:v>
                </c:pt>
                <c:pt idx="21">
                  <c:v>5.5679287305122498E-2</c:v>
                </c:pt>
                <c:pt idx="22">
                  <c:v>5.2631578947368418E-2</c:v>
                </c:pt>
                <c:pt idx="23">
                  <c:v>5.3452115812917596E-2</c:v>
                </c:pt>
                <c:pt idx="24">
                  <c:v>5.0218340611353711E-2</c:v>
                </c:pt>
                <c:pt idx="25">
                  <c:v>4.8245614035087717E-2</c:v>
                </c:pt>
                <c:pt idx="26">
                  <c:v>5.3648068669527899E-2</c:v>
                </c:pt>
                <c:pt idx="27">
                  <c:v>4.7008547008547008E-2</c:v>
                </c:pt>
                <c:pt idx="28">
                  <c:v>4.9792531120331947E-2</c:v>
                </c:pt>
                <c:pt idx="29">
                  <c:v>4.8681541582150101E-2</c:v>
                </c:pt>
                <c:pt idx="30">
                  <c:v>4.9382716049382713E-2</c:v>
                </c:pt>
                <c:pt idx="31">
                  <c:v>4.8289738430583498E-2</c:v>
                </c:pt>
                <c:pt idx="32">
                  <c:v>5.2953156822810592E-2</c:v>
                </c:pt>
                <c:pt idx="33">
                  <c:v>5.3999999999999999E-2</c:v>
                </c:pt>
                <c:pt idx="34">
                  <c:v>5.0100200400801605E-2</c:v>
                </c:pt>
                <c:pt idx="35">
                  <c:v>4.5544554455445543E-2</c:v>
                </c:pt>
                <c:pt idx="36">
                  <c:v>4.5186640471512773E-2</c:v>
                </c:pt>
                <c:pt idx="37">
                  <c:v>4.8355899419729204E-2</c:v>
                </c:pt>
                <c:pt idx="38">
                  <c:v>4.590818363273453E-2</c:v>
                </c:pt>
                <c:pt idx="39">
                  <c:v>4.9309664694280081E-2</c:v>
                </c:pt>
                <c:pt idx="40">
                  <c:v>4.4806517311608958E-2</c:v>
                </c:pt>
                <c:pt idx="41">
                  <c:v>4.536082474226804E-2</c:v>
                </c:pt>
                <c:pt idx="42">
                  <c:v>4.4176706827309238E-2</c:v>
                </c:pt>
                <c:pt idx="43">
                  <c:v>4.5544554455445543E-2</c:v>
                </c:pt>
                <c:pt idx="44">
                  <c:v>4.3137254901960784E-2</c:v>
                </c:pt>
                <c:pt idx="45">
                  <c:v>4.5186640471512773E-2</c:v>
                </c:pt>
                <c:pt idx="46">
                  <c:v>4.5999999999999999E-2</c:v>
                </c:pt>
                <c:pt idx="47">
                  <c:v>4.8979591836734691E-2</c:v>
                </c:pt>
                <c:pt idx="48">
                  <c:v>5.0916496945010187E-2</c:v>
                </c:pt>
                <c:pt idx="49">
                  <c:v>5.2192066805845511E-2</c:v>
                </c:pt>
                <c:pt idx="50">
                  <c:v>5.2410901467505239E-2</c:v>
                </c:pt>
                <c:pt idx="51">
                  <c:v>4.9676025917926567E-2</c:v>
                </c:pt>
                <c:pt idx="52">
                  <c:v>5.3418803418803416E-2</c:v>
                </c:pt>
                <c:pt idx="53">
                  <c:v>5.4325955734406441E-2</c:v>
                </c:pt>
                <c:pt idx="54">
                  <c:v>5.4766734279918863E-2</c:v>
                </c:pt>
                <c:pt idx="55">
                  <c:v>5.2525252525252523E-2</c:v>
                </c:pt>
                <c:pt idx="56">
                  <c:v>5.040322580645161E-2</c:v>
                </c:pt>
                <c:pt idx="57">
                  <c:v>4.7713717693836977E-2</c:v>
                </c:pt>
                <c:pt idx="58">
                  <c:v>4.8000000000000001E-2</c:v>
                </c:pt>
                <c:pt idx="59">
                  <c:v>0.05</c:v>
                </c:pt>
                <c:pt idx="60">
                  <c:v>0.05</c:v>
                </c:pt>
                <c:pt idx="61">
                  <c:v>4.8059149722735672E-2</c:v>
                </c:pt>
                <c:pt idx="62">
                  <c:v>4.6846846846846847E-2</c:v>
                </c:pt>
                <c:pt idx="63">
                  <c:v>4.7619047619047616E-2</c:v>
                </c:pt>
                <c:pt idx="64">
                  <c:v>4.5694200351493852E-2</c:v>
                </c:pt>
                <c:pt idx="65">
                  <c:v>4.5936395759717315E-2</c:v>
                </c:pt>
                <c:pt idx="66">
                  <c:v>4.1739130434782612E-2</c:v>
                </c:pt>
                <c:pt idx="67">
                  <c:v>4.3697478991596636E-2</c:v>
                </c:pt>
                <c:pt idx="68">
                  <c:v>4.0472175379426642E-2</c:v>
                </c:pt>
                <c:pt idx="69">
                  <c:v>4.3918918918918921E-2</c:v>
                </c:pt>
                <c:pt idx="70">
                  <c:v>4.4600000000000001E-2</c:v>
                </c:pt>
                <c:pt idx="71">
                  <c:v>4.3499999999999997E-2</c:v>
                </c:pt>
                <c:pt idx="72">
                  <c:v>0.04</c:v>
                </c:pt>
                <c:pt idx="73">
                  <c:v>3.78E-2</c:v>
                </c:pt>
                <c:pt idx="74">
                  <c:v>3.5099999999999999E-2</c:v>
                </c:pt>
                <c:pt idx="75">
                  <c:v>3.5299999999999998E-2</c:v>
                </c:pt>
                <c:pt idx="76">
                  <c:v>3.5499999999999997E-2</c:v>
                </c:pt>
                <c:pt idx="77">
                  <c:v>3.5999999999999997E-2</c:v>
                </c:pt>
                <c:pt idx="78">
                  <c:v>4.1799999999999997E-2</c:v>
                </c:pt>
                <c:pt idx="79">
                  <c:v>4.1099999999999998E-2</c:v>
                </c:pt>
                <c:pt idx="80">
                  <c:v>4.65E-2</c:v>
                </c:pt>
                <c:pt idx="81">
                  <c:v>4.2999999999999997E-2</c:v>
                </c:pt>
                <c:pt idx="82">
                  <c:v>3.9100000000000003E-2</c:v>
                </c:pt>
                <c:pt idx="83">
                  <c:v>3.8899999999999997E-2</c:v>
                </c:pt>
                <c:pt idx="84">
                  <c:v>3.85E-2</c:v>
                </c:pt>
                <c:pt idx="85">
                  <c:v>4.7399999999999998E-2</c:v>
                </c:pt>
                <c:pt idx="86">
                  <c:v>4.8899999999999999E-2</c:v>
                </c:pt>
                <c:pt idx="87">
                  <c:v>4.6800000000000001E-2</c:v>
                </c:pt>
              </c:numCache>
            </c:numRef>
          </c:val>
          <c:smooth val="0"/>
          <c:extLst>
            <c:ext xmlns:c16="http://schemas.microsoft.com/office/drawing/2014/chart" uri="{C3380CC4-5D6E-409C-BE32-E72D297353CC}">
              <c16:uniqueId val="{00000000-026E-4306-BB91-2F957EF4D879}"/>
            </c:ext>
          </c:extLst>
        </c:ser>
        <c:dLbls>
          <c:showLegendKey val="0"/>
          <c:showVal val="0"/>
          <c:showCatName val="0"/>
          <c:showSerName val="0"/>
          <c:showPercent val="0"/>
          <c:showBubbleSize val="0"/>
        </c:dLbls>
        <c:marker val="1"/>
        <c:smooth val="0"/>
        <c:axId val="122230656"/>
        <c:axId val="122245120"/>
      </c:lineChart>
      <c:dateAx>
        <c:axId val="122230656"/>
        <c:scaling>
          <c:orientation val="minMax"/>
        </c:scaling>
        <c:delete val="0"/>
        <c:axPos val="b"/>
        <c:title>
          <c:tx>
            <c:rich>
              <a:bodyPr/>
              <a:lstStyle/>
              <a:p>
                <a:pPr>
                  <a:defRPr sz="1000" b="0" i="0" u="none" strike="noStrike" baseline="0">
                    <a:solidFill>
                      <a:srgbClr val="000000"/>
                    </a:solidFill>
                    <a:latin typeface="Calibri"/>
                    <a:ea typeface="Calibri"/>
                    <a:cs typeface="Calibri"/>
                  </a:defRPr>
                </a:pPr>
                <a:r>
                  <a:rPr lang="en-GB"/>
                  <a:t>Rolling 12 months</a:t>
                </a:r>
              </a:p>
            </c:rich>
          </c:tx>
          <c:layout/>
          <c:overlay val="0"/>
        </c:title>
        <c:numFmt formatCode="mmm\-yyyy" sourceLinked="0"/>
        <c:majorTickMark val="out"/>
        <c:minorTickMark val="none"/>
        <c:tickLblPos val="nextTo"/>
        <c:txPr>
          <a:bodyPr rot="-5400000" vert="horz"/>
          <a:lstStyle/>
          <a:p>
            <a:pPr>
              <a:defRPr sz="600" b="0" i="0" u="none" strike="noStrike" baseline="0">
                <a:solidFill>
                  <a:srgbClr val="000000"/>
                </a:solidFill>
                <a:latin typeface="Calibri"/>
                <a:ea typeface="Calibri"/>
                <a:cs typeface="Calibri"/>
              </a:defRPr>
            </a:pPr>
            <a:endParaRPr lang="en-US"/>
          </a:p>
        </c:txPr>
        <c:crossAx val="122245120"/>
        <c:crosses val="autoZero"/>
        <c:auto val="1"/>
        <c:lblOffset val="100"/>
        <c:baseTimeUnit val="months"/>
        <c:majorUnit val="1"/>
        <c:majorTimeUnit val="months"/>
      </c:dateAx>
      <c:valAx>
        <c:axId val="122245120"/>
        <c:scaling>
          <c:orientation val="minMax"/>
          <c:max val="7.0000000000000007E-2"/>
          <c:min val="3.0000000000000006E-2"/>
        </c:scaling>
        <c:delete val="0"/>
        <c:axPos val="l"/>
        <c:majorGridlines/>
        <c:numFmt formatCode="0.0%" sourceLinked="1"/>
        <c:majorTickMark val="out"/>
        <c:minorTickMark val="none"/>
        <c:tickLblPos val="nextTo"/>
        <c:txPr>
          <a:bodyPr rot="0" vert="horz"/>
          <a:lstStyle/>
          <a:p>
            <a:pPr>
              <a:defRPr sz="700" b="0" i="0" u="none" strike="noStrike" baseline="0">
                <a:solidFill>
                  <a:srgbClr val="000000"/>
                </a:solidFill>
                <a:latin typeface="Calibri"/>
                <a:ea typeface="Calibri"/>
                <a:cs typeface="Calibri"/>
              </a:defRPr>
            </a:pPr>
            <a:endParaRPr lang="en-US"/>
          </a:p>
        </c:txPr>
        <c:crossAx val="122230656"/>
        <c:crosses val="autoZero"/>
        <c:crossBetween val="between"/>
      </c:valAx>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2.xml><?xml version="1.0" encoding="utf-8"?>
<ds:datastoreItem xmlns:ds="http://schemas.openxmlformats.org/officeDocument/2006/customXml" ds:itemID="{267CD634-7F75-4416-9899-901E811D4396}">
  <ds:schemaRefs>
    <ds:schemaRef ds:uri="http://purl.org/dc/elements/1.1/"/>
    <ds:schemaRef ds:uri="http://schemas.microsoft.com/office/2006/metadata/properties"/>
    <ds:schemaRef ds:uri="http://www.w3.org/XML/1998/namespace"/>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c9a6731c-53d6-464c-b253-c810b90fd6a8"/>
    <ds:schemaRef ds:uri="http://purl.org/dc/dcmitype/"/>
    <ds:schemaRef ds:uri="http://purl.org/dc/terms/"/>
  </ds:schemaRefs>
</ds:datastoreItem>
</file>

<file path=customXml/itemProps3.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16718D-3AD8-4E94-8DDC-CD5AAACB1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11</Pages>
  <Words>1908</Words>
  <Characters>10877</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12760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Digital Intelligence)</cp:lastModifiedBy>
  <cp:revision>25</cp:revision>
  <cp:lastPrinted>2016-12-14T09:15:00Z</cp:lastPrinted>
  <dcterms:created xsi:type="dcterms:W3CDTF">2023-06-15T19:59:00Z</dcterms:created>
  <dcterms:modified xsi:type="dcterms:W3CDTF">2023-09-20T14:51:00Z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